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52" w:rsidRPr="000671AB" w:rsidRDefault="00036A52" w:rsidP="00036A52">
      <w:bookmarkStart w:id="0" w:name="_GoBack"/>
      <w:bookmarkEnd w:id="0"/>
      <w:r w:rsidRPr="000671AB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626110" cy="933450"/>
            <wp:effectExtent l="0" t="0" r="2540" b="0"/>
            <wp:wrapNone/>
            <wp:docPr id="1" name="Immagine 1" descr="stemma_e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en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A52" w:rsidRPr="00D543CC" w:rsidRDefault="00036A52" w:rsidP="00036A52">
      <w:pPr>
        <w:pStyle w:val="Titolo1"/>
        <w:jc w:val="center"/>
        <w:rPr>
          <w:rFonts w:ascii="BankGothic Lt BT" w:hAnsi="BankGothic Lt BT"/>
          <w:b/>
          <w:spacing w:val="30"/>
          <w:sz w:val="44"/>
          <w:szCs w:val="44"/>
        </w:rPr>
      </w:pPr>
      <w:proofErr w:type="gramStart"/>
      <w:r w:rsidRPr="00D543CC">
        <w:rPr>
          <w:rFonts w:ascii="BankGothic Lt BT" w:hAnsi="BankGothic Lt BT"/>
          <w:b/>
          <w:spacing w:val="30"/>
          <w:sz w:val="44"/>
          <w:szCs w:val="44"/>
        </w:rPr>
        <w:t>COMUNE  DI</w:t>
      </w:r>
      <w:proofErr w:type="gramEnd"/>
      <w:r w:rsidRPr="00D543CC">
        <w:rPr>
          <w:rFonts w:ascii="BankGothic Lt BT" w:hAnsi="BankGothic Lt BT"/>
          <w:b/>
          <w:spacing w:val="30"/>
          <w:sz w:val="44"/>
          <w:szCs w:val="44"/>
        </w:rPr>
        <w:t xml:space="preserve">  ENEGO</w:t>
      </w:r>
    </w:p>
    <w:p w:rsidR="00036A52" w:rsidRDefault="00036A52" w:rsidP="00036A52">
      <w:pPr>
        <w:pStyle w:val="Titolo2"/>
        <w:rPr>
          <w:b/>
          <w:sz w:val="28"/>
          <w:szCs w:val="28"/>
        </w:rPr>
      </w:pPr>
      <w:proofErr w:type="gramStart"/>
      <w:r w:rsidRPr="00AB2066">
        <w:rPr>
          <w:b/>
          <w:sz w:val="28"/>
          <w:szCs w:val="28"/>
        </w:rPr>
        <w:t>PROVINCIA  DI</w:t>
      </w:r>
      <w:proofErr w:type="gramEnd"/>
      <w:r w:rsidRPr="00AB2066">
        <w:rPr>
          <w:b/>
          <w:sz w:val="28"/>
          <w:szCs w:val="28"/>
        </w:rPr>
        <w:t xml:space="preserve">  VICENZA</w:t>
      </w:r>
    </w:p>
    <w:p w:rsidR="00036A52" w:rsidRDefault="00036A52" w:rsidP="00036A52">
      <w:pPr>
        <w:rPr>
          <w:lang w:eastAsia="it-IT"/>
        </w:rPr>
      </w:pPr>
    </w:p>
    <w:p w:rsidR="00036A52" w:rsidRPr="00E10699" w:rsidRDefault="00036A52" w:rsidP="00E10699">
      <w:pPr>
        <w:jc w:val="center"/>
        <w:rPr>
          <w:b/>
          <w:sz w:val="24"/>
          <w:szCs w:val="24"/>
          <w:lang w:eastAsia="it-IT"/>
        </w:rPr>
      </w:pPr>
      <w:r w:rsidRPr="00E10699">
        <w:rPr>
          <w:b/>
          <w:sz w:val="24"/>
          <w:szCs w:val="24"/>
          <w:lang w:eastAsia="it-IT"/>
        </w:rPr>
        <w:t>QUIZ. N. 1</w:t>
      </w:r>
    </w:p>
    <w:p w:rsidR="00EA4DB7" w:rsidRDefault="007C0691" w:rsidP="00093AE2">
      <w:pPr>
        <w:pStyle w:val="Paragrafoelenco"/>
        <w:numPr>
          <w:ilvl w:val="0"/>
          <w:numId w:val="2"/>
        </w:numPr>
      </w:pPr>
      <w:r>
        <w:t>Entro quanti giorni dalla stipula del contratto il Direttore dei Lavori provvede alla consegna dei lavori?</w:t>
      </w:r>
    </w:p>
    <w:p w:rsidR="007C0691" w:rsidRDefault="007C0691" w:rsidP="00483535">
      <w:pPr>
        <w:pStyle w:val="Paragrafoelenco"/>
        <w:numPr>
          <w:ilvl w:val="1"/>
          <w:numId w:val="1"/>
        </w:numPr>
      </w:pPr>
      <w:r>
        <w:t>30</w:t>
      </w:r>
    </w:p>
    <w:p w:rsidR="007C0691" w:rsidRDefault="007C0691" w:rsidP="00EC685A">
      <w:pPr>
        <w:pStyle w:val="Paragrafoelenco"/>
        <w:numPr>
          <w:ilvl w:val="1"/>
          <w:numId w:val="1"/>
        </w:numPr>
      </w:pPr>
      <w:r>
        <w:t>45</w:t>
      </w:r>
    </w:p>
    <w:p w:rsidR="007C0691" w:rsidRDefault="007C0691" w:rsidP="00EC685A">
      <w:pPr>
        <w:pStyle w:val="Paragrafoelenco"/>
        <w:numPr>
          <w:ilvl w:val="1"/>
          <w:numId w:val="1"/>
        </w:numPr>
      </w:pPr>
      <w:r>
        <w:t>60</w:t>
      </w:r>
    </w:p>
    <w:p w:rsidR="005F5012" w:rsidRDefault="005F5012" w:rsidP="005F5012">
      <w:pPr>
        <w:pStyle w:val="Paragrafoelenco"/>
      </w:pPr>
    </w:p>
    <w:p w:rsidR="007C0691" w:rsidRDefault="007C0691" w:rsidP="00093AE2">
      <w:pPr>
        <w:pStyle w:val="Paragrafoelenco"/>
        <w:numPr>
          <w:ilvl w:val="0"/>
          <w:numId w:val="2"/>
        </w:numPr>
      </w:pPr>
      <w:r>
        <w:t>Chi può disporre modifiche di dettaglio non comportanti aumento o diminuzione dell’importo contrattuale?</w:t>
      </w:r>
    </w:p>
    <w:p w:rsidR="007C0691" w:rsidRDefault="007C0691" w:rsidP="00093AE2">
      <w:pPr>
        <w:pStyle w:val="Paragrafoelenco"/>
        <w:numPr>
          <w:ilvl w:val="0"/>
          <w:numId w:val="3"/>
        </w:numPr>
      </w:pPr>
      <w:r>
        <w:t>Il D.L</w:t>
      </w:r>
    </w:p>
    <w:p w:rsidR="007C0691" w:rsidRDefault="007C0691" w:rsidP="00093AE2">
      <w:pPr>
        <w:pStyle w:val="Paragrafoelenco"/>
        <w:numPr>
          <w:ilvl w:val="0"/>
          <w:numId w:val="3"/>
        </w:numPr>
      </w:pPr>
      <w:r>
        <w:t>Il R.U.P.</w:t>
      </w:r>
    </w:p>
    <w:p w:rsidR="007C0691" w:rsidRDefault="007C0691" w:rsidP="00093AE2">
      <w:pPr>
        <w:pStyle w:val="Paragrafoelenco"/>
        <w:numPr>
          <w:ilvl w:val="0"/>
          <w:numId w:val="3"/>
        </w:numPr>
      </w:pPr>
      <w:r>
        <w:t>Il Collaudatore</w:t>
      </w:r>
    </w:p>
    <w:p w:rsidR="007C0691" w:rsidRDefault="007C0691" w:rsidP="007C0691"/>
    <w:p w:rsidR="002641A3" w:rsidRDefault="002641A3" w:rsidP="00093AE2">
      <w:pPr>
        <w:pStyle w:val="Paragrafoelenco"/>
        <w:numPr>
          <w:ilvl w:val="0"/>
          <w:numId w:val="2"/>
        </w:numPr>
      </w:pPr>
      <w:r>
        <w:t>Per quale percentuale possono essere subappaltati i lavori di un’opera pubblica?</w:t>
      </w:r>
    </w:p>
    <w:p w:rsidR="002641A3" w:rsidRDefault="002641A3" w:rsidP="00093AE2">
      <w:pPr>
        <w:pStyle w:val="Paragrafoelenco"/>
        <w:numPr>
          <w:ilvl w:val="0"/>
          <w:numId w:val="4"/>
        </w:numPr>
      </w:pPr>
      <w:r>
        <w:t>20%</w:t>
      </w:r>
    </w:p>
    <w:p w:rsidR="002641A3" w:rsidRDefault="002641A3" w:rsidP="00093AE2">
      <w:pPr>
        <w:pStyle w:val="Paragrafoelenco"/>
        <w:numPr>
          <w:ilvl w:val="0"/>
          <w:numId w:val="4"/>
        </w:numPr>
      </w:pPr>
      <w:r>
        <w:t>30%</w:t>
      </w:r>
    </w:p>
    <w:p w:rsidR="002641A3" w:rsidRDefault="002641A3" w:rsidP="00093AE2">
      <w:pPr>
        <w:pStyle w:val="Paragrafoelenco"/>
        <w:numPr>
          <w:ilvl w:val="0"/>
          <w:numId w:val="4"/>
        </w:numPr>
      </w:pPr>
      <w:r>
        <w:t>50%</w:t>
      </w:r>
    </w:p>
    <w:p w:rsidR="00EB3726" w:rsidRDefault="00EB3726" w:rsidP="00EB3726">
      <w:pPr>
        <w:pStyle w:val="Paragrafoelenco"/>
        <w:ind w:left="1440"/>
      </w:pPr>
    </w:p>
    <w:p w:rsidR="002641A3" w:rsidRDefault="002641A3" w:rsidP="00093AE2">
      <w:pPr>
        <w:pStyle w:val="Paragrafoelenco"/>
        <w:numPr>
          <w:ilvl w:val="0"/>
          <w:numId w:val="2"/>
        </w:numPr>
      </w:pPr>
      <w:r>
        <w:t xml:space="preserve">Fino a che percentuale massima di aumento può essere modificato un contratto di lavoro pubblico durante il periodo di efficacia (art. 106, comma 2, </w:t>
      </w:r>
      <w:proofErr w:type="spellStart"/>
      <w:r>
        <w:t>D.Lgs.</w:t>
      </w:r>
      <w:proofErr w:type="spellEnd"/>
      <w:r>
        <w:t xml:space="preserve"> 50/2016)</w:t>
      </w:r>
    </w:p>
    <w:p w:rsidR="002641A3" w:rsidRDefault="002641A3" w:rsidP="00093AE2">
      <w:pPr>
        <w:pStyle w:val="Paragrafoelenco"/>
        <w:numPr>
          <w:ilvl w:val="0"/>
          <w:numId w:val="5"/>
        </w:numPr>
      </w:pPr>
      <w:r>
        <w:t>10%</w:t>
      </w:r>
    </w:p>
    <w:p w:rsidR="002641A3" w:rsidRDefault="002641A3" w:rsidP="00093AE2">
      <w:pPr>
        <w:pStyle w:val="Paragrafoelenco"/>
        <w:numPr>
          <w:ilvl w:val="0"/>
          <w:numId w:val="5"/>
        </w:numPr>
      </w:pPr>
      <w:r>
        <w:t>15%</w:t>
      </w:r>
    </w:p>
    <w:p w:rsidR="002641A3" w:rsidRDefault="002641A3" w:rsidP="00093AE2">
      <w:pPr>
        <w:pStyle w:val="Paragrafoelenco"/>
        <w:numPr>
          <w:ilvl w:val="0"/>
          <w:numId w:val="5"/>
        </w:numPr>
      </w:pPr>
      <w:r>
        <w:t>20%</w:t>
      </w:r>
    </w:p>
    <w:p w:rsidR="002641A3" w:rsidRDefault="002641A3" w:rsidP="002641A3">
      <w:pPr>
        <w:pStyle w:val="Paragrafoelenco"/>
        <w:ind w:left="1440"/>
      </w:pPr>
    </w:p>
    <w:p w:rsidR="00C8517F" w:rsidRDefault="00C8517F" w:rsidP="00093AE2">
      <w:pPr>
        <w:pStyle w:val="Paragrafoelenco"/>
        <w:numPr>
          <w:ilvl w:val="0"/>
          <w:numId w:val="2"/>
        </w:numPr>
      </w:pPr>
      <w:r>
        <w:t xml:space="preserve">In quale misura di applica l’IVA per la realizzazione di lavori di </w:t>
      </w:r>
      <w:r w:rsidR="008B25B2">
        <w:t>un’opera di urbanizzazione</w:t>
      </w:r>
      <w:r w:rsidR="00D84A31">
        <w:t>?</w:t>
      </w:r>
    </w:p>
    <w:p w:rsidR="003624DB" w:rsidRDefault="003624DB" w:rsidP="00093AE2">
      <w:pPr>
        <w:pStyle w:val="Paragrafoelenco"/>
        <w:numPr>
          <w:ilvl w:val="0"/>
          <w:numId w:val="6"/>
        </w:numPr>
      </w:pPr>
      <w:r>
        <w:t>4%</w:t>
      </w:r>
    </w:p>
    <w:p w:rsidR="003624DB" w:rsidRDefault="003624DB" w:rsidP="00093AE2">
      <w:pPr>
        <w:pStyle w:val="Paragrafoelenco"/>
        <w:numPr>
          <w:ilvl w:val="0"/>
          <w:numId w:val="6"/>
        </w:numPr>
      </w:pPr>
      <w:r>
        <w:t>10%</w:t>
      </w:r>
    </w:p>
    <w:p w:rsidR="003624DB" w:rsidRDefault="003624DB" w:rsidP="00093AE2">
      <w:pPr>
        <w:pStyle w:val="Paragrafoelenco"/>
        <w:numPr>
          <w:ilvl w:val="0"/>
          <w:numId w:val="6"/>
        </w:numPr>
      </w:pPr>
      <w:r>
        <w:t>22%</w:t>
      </w:r>
    </w:p>
    <w:p w:rsidR="00EB3726" w:rsidRDefault="00EB3726" w:rsidP="00EB3726">
      <w:pPr>
        <w:pStyle w:val="Paragrafoelenco"/>
        <w:ind w:left="1800"/>
      </w:pPr>
    </w:p>
    <w:p w:rsidR="00757551" w:rsidRDefault="00757551" w:rsidP="00093AE2">
      <w:pPr>
        <w:pStyle w:val="Paragrafoelenco"/>
        <w:numPr>
          <w:ilvl w:val="0"/>
          <w:numId w:val="2"/>
        </w:numPr>
      </w:pPr>
      <w:r>
        <w:t>A chi compete la dichiarazione di pubblica utilità di un’opera pubblica conforme allo strumento urbanistico?</w:t>
      </w:r>
    </w:p>
    <w:p w:rsidR="00757551" w:rsidRDefault="00757551" w:rsidP="00093AE2">
      <w:pPr>
        <w:pStyle w:val="Paragrafoelenco"/>
        <w:numPr>
          <w:ilvl w:val="0"/>
          <w:numId w:val="7"/>
        </w:numPr>
      </w:pPr>
      <w:r>
        <w:t>Sindaco</w:t>
      </w:r>
    </w:p>
    <w:p w:rsidR="00757551" w:rsidRDefault="00757551" w:rsidP="00093AE2">
      <w:pPr>
        <w:pStyle w:val="Paragrafoelenco"/>
        <w:numPr>
          <w:ilvl w:val="0"/>
          <w:numId w:val="7"/>
        </w:numPr>
      </w:pPr>
      <w:r>
        <w:t xml:space="preserve">Giunta </w:t>
      </w:r>
    </w:p>
    <w:p w:rsidR="00757551" w:rsidRDefault="00EB3726" w:rsidP="00093AE2">
      <w:pPr>
        <w:pStyle w:val="Paragrafoelenco"/>
        <w:numPr>
          <w:ilvl w:val="0"/>
          <w:numId w:val="7"/>
        </w:numPr>
      </w:pPr>
      <w:r>
        <w:t>Consiglio</w:t>
      </w:r>
      <w:r w:rsidR="00F6452F">
        <w:t xml:space="preserve"> Comunale</w:t>
      </w:r>
    </w:p>
    <w:p w:rsidR="00EB3726" w:rsidRDefault="00EB3726" w:rsidP="00EB3726">
      <w:pPr>
        <w:pStyle w:val="Paragrafoelenco"/>
        <w:ind w:left="1800"/>
      </w:pPr>
    </w:p>
    <w:p w:rsidR="00757551" w:rsidRDefault="00757551" w:rsidP="00093AE2">
      <w:pPr>
        <w:pStyle w:val="Paragrafoelenco"/>
        <w:numPr>
          <w:ilvl w:val="0"/>
          <w:numId w:val="2"/>
        </w:numPr>
      </w:pPr>
      <w:r>
        <w:t>Per quali importi di forniture è necessario attingere al mercato elettronico (MEPA)?</w:t>
      </w:r>
    </w:p>
    <w:p w:rsidR="00757551" w:rsidRDefault="00757551" w:rsidP="00093AE2">
      <w:pPr>
        <w:pStyle w:val="Paragrafoelenco"/>
        <w:numPr>
          <w:ilvl w:val="0"/>
          <w:numId w:val="8"/>
        </w:numPr>
      </w:pPr>
      <w:r>
        <w:t xml:space="preserve">Sopra i 500,00 € </w:t>
      </w:r>
    </w:p>
    <w:p w:rsidR="00757551" w:rsidRDefault="00757551" w:rsidP="00093AE2">
      <w:pPr>
        <w:pStyle w:val="Paragrafoelenco"/>
        <w:numPr>
          <w:ilvl w:val="0"/>
          <w:numId w:val="8"/>
        </w:numPr>
      </w:pPr>
      <w:r>
        <w:t xml:space="preserve">Sopra i 1.000,00 € </w:t>
      </w:r>
    </w:p>
    <w:p w:rsidR="00757551" w:rsidRDefault="00757551" w:rsidP="00093AE2">
      <w:pPr>
        <w:pStyle w:val="Paragrafoelenco"/>
        <w:numPr>
          <w:ilvl w:val="0"/>
          <w:numId w:val="8"/>
        </w:numPr>
      </w:pPr>
      <w:r>
        <w:t>Sopra i 5.000,00 €</w:t>
      </w:r>
    </w:p>
    <w:p w:rsidR="00EB3726" w:rsidRDefault="00EB3726" w:rsidP="00E55F39">
      <w:pPr>
        <w:pStyle w:val="Paragrafoelenco"/>
        <w:ind w:left="2520" w:hanging="1527"/>
      </w:pPr>
    </w:p>
    <w:p w:rsidR="006A2B8E" w:rsidRDefault="006A2B8E" w:rsidP="00093AE2">
      <w:pPr>
        <w:pStyle w:val="Paragrafoelenco"/>
        <w:numPr>
          <w:ilvl w:val="0"/>
          <w:numId w:val="2"/>
        </w:numPr>
      </w:pPr>
      <w:r>
        <w:lastRenderedPageBreak/>
        <w:t xml:space="preserve">Quanti operatori è necessario consultare in una procedura negoziata di importo lavori </w:t>
      </w:r>
      <w:proofErr w:type="gramStart"/>
      <w:r>
        <w:t>tra  €</w:t>
      </w:r>
      <w:proofErr w:type="gramEnd"/>
      <w:r>
        <w:t xml:space="preserve"> 150.000,00 ed € 1.000.000,00?</w:t>
      </w:r>
    </w:p>
    <w:p w:rsidR="006A2B8E" w:rsidRDefault="006A2B8E" w:rsidP="00093AE2">
      <w:pPr>
        <w:pStyle w:val="Paragrafoelenco"/>
        <w:numPr>
          <w:ilvl w:val="0"/>
          <w:numId w:val="9"/>
        </w:numPr>
      </w:pPr>
      <w:r>
        <w:t>Almeno 10</w:t>
      </w:r>
    </w:p>
    <w:p w:rsidR="006A2B8E" w:rsidRDefault="006A2B8E" w:rsidP="00093AE2">
      <w:pPr>
        <w:pStyle w:val="Paragrafoelenco"/>
        <w:numPr>
          <w:ilvl w:val="0"/>
          <w:numId w:val="9"/>
        </w:numPr>
      </w:pPr>
      <w:r>
        <w:t>Almeno 15</w:t>
      </w:r>
    </w:p>
    <w:p w:rsidR="006A2B8E" w:rsidRDefault="006A2B8E" w:rsidP="00093AE2">
      <w:pPr>
        <w:pStyle w:val="Paragrafoelenco"/>
        <w:numPr>
          <w:ilvl w:val="0"/>
          <w:numId w:val="9"/>
        </w:numPr>
      </w:pPr>
      <w:r>
        <w:t>Almeno 20</w:t>
      </w:r>
    </w:p>
    <w:p w:rsidR="00EB3726" w:rsidRDefault="00EB3726" w:rsidP="00EB3726">
      <w:pPr>
        <w:pStyle w:val="Paragrafoelenco"/>
        <w:ind w:left="2520"/>
      </w:pPr>
    </w:p>
    <w:p w:rsidR="000761D9" w:rsidRDefault="000761D9" w:rsidP="00093AE2">
      <w:pPr>
        <w:pStyle w:val="Paragrafoelenco"/>
        <w:numPr>
          <w:ilvl w:val="0"/>
          <w:numId w:val="2"/>
        </w:numPr>
      </w:pPr>
      <w:r>
        <w:t>Chi è tenuto, in una qualsiasi azienda od ente, ad elaborare il documento di valutazione dei rischi?</w:t>
      </w:r>
    </w:p>
    <w:p w:rsidR="000761D9" w:rsidRDefault="000761D9" w:rsidP="00093AE2">
      <w:pPr>
        <w:pStyle w:val="Paragrafoelenco"/>
        <w:numPr>
          <w:ilvl w:val="0"/>
          <w:numId w:val="10"/>
        </w:numPr>
      </w:pPr>
      <w:r>
        <w:t>Il medico competente</w:t>
      </w:r>
    </w:p>
    <w:p w:rsidR="000761D9" w:rsidRDefault="000761D9" w:rsidP="00093AE2">
      <w:pPr>
        <w:pStyle w:val="Paragrafoelenco"/>
        <w:numPr>
          <w:ilvl w:val="0"/>
          <w:numId w:val="10"/>
        </w:numPr>
      </w:pPr>
      <w:r>
        <w:t>Il datore di lavoro</w:t>
      </w:r>
    </w:p>
    <w:p w:rsidR="000761D9" w:rsidRDefault="000761D9" w:rsidP="00093AE2">
      <w:pPr>
        <w:pStyle w:val="Paragrafoelenco"/>
        <w:numPr>
          <w:ilvl w:val="0"/>
          <w:numId w:val="10"/>
        </w:numPr>
      </w:pPr>
      <w:r>
        <w:t>Il Responsabile del Servizio di Prevenzione e Protezione</w:t>
      </w:r>
    </w:p>
    <w:p w:rsidR="00EB3726" w:rsidRDefault="00EB3726" w:rsidP="00E55F39">
      <w:pPr>
        <w:pStyle w:val="Paragrafoelenco"/>
        <w:ind w:left="2520" w:hanging="1386"/>
      </w:pPr>
    </w:p>
    <w:p w:rsidR="005844DB" w:rsidRDefault="005844DB" w:rsidP="00093AE2">
      <w:pPr>
        <w:pStyle w:val="Paragrafoelenco"/>
        <w:numPr>
          <w:ilvl w:val="0"/>
          <w:numId w:val="2"/>
        </w:numPr>
        <w:jc w:val="both"/>
      </w:pPr>
      <w:r>
        <w:t>Ai sensi della legge urbanistica veneta, il Comune può concludere accordi con soggetti privati nella pianificazione urbanistica?</w:t>
      </w:r>
    </w:p>
    <w:p w:rsidR="005844DB" w:rsidRDefault="005844DB" w:rsidP="00093AE2">
      <w:pPr>
        <w:pStyle w:val="Paragrafoelenco"/>
        <w:numPr>
          <w:ilvl w:val="0"/>
          <w:numId w:val="11"/>
        </w:numPr>
        <w:jc w:val="both"/>
      </w:pPr>
      <w:r>
        <w:t>Si, per proposte di rilevante interesse pubblico, l’accordo recepito nel P.I. costituisce vincolo preordinato all’esproprio</w:t>
      </w:r>
    </w:p>
    <w:p w:rsidR="005844DB" w:rsidRDefault="005844DB" w:rsidP="00093AE2">
      <w:pPr>
        <w:pStyle w:val="Paragrafoelenco"/>
        <w:numPr>
          <w:ilvl w:val="0"/>
          <w:numId w:val="11"/>
        </w:numPr>
        <w:jc w:val="both"/>
      </w:pPr>
      <w:r>
        <w:t>Si, per proposte di rilevante interesse pubblico e senza arrecare pregiudizio dei diritti di terzi</w:t>
      </w:r>
    </w:p>
    <w:p w:rsidR="005844DB" w:rsidRDefault="005844DB" w:rsidP="00093AE2">
      <w:pPr>
        <w:pStyle w:val="Paragrafoelenco"/>
        <w:numPr>
          <w:ilvl w:val="0"/>
          <w:numId w:val="11"/>
        </w:numPr>
        <w:jc w:val="both"/>
      </w:pPr>
      <w:r>
        <w:t>No, Il Comune non può concludere alcun tipo di accordo con il privato in quanto sarebbe in contrasto con i principi di trasparenza ed equità di trattamento.</w:t>
      </w:r>
    </w:p>
    <w:p w:rsidR="00EB3726" w:rsidRDefault="00EB3726" w:rsidP="00EB3726">
      <w:pPr>
        <w:pStyle w:val="Paragrafoelenco"/>
        <w:ind w:left="1440"/>
        <w:jc w:val="both"/>
      </w:pPr>
    </w:p>
    <w:p w:rsidR="00D41FAE" w:rsidRDefault="00F93220" w:rsidP="00093AE2">
      <w:pPr>
        <w:pStyle w:val="Paragrafoelenco"/>
        <w:numPr>
          <w:ilvl w:val="0"/>
          <w:numId w:val="2"/>
        </w:numPr>
        <w:jc w:val="both"/>
      </w:pPr>
      <w:r>
        <w:t>Su quale supporto cartografico viene redatto il Piano degli Interventi?</w:t>
      </w:r>
    </w:p>
    <w:p w:rsidR="00F93220" w:rsidRDefault="00F93220" w:rsidP="00093AE2">
      <w:pPr>
        <w:pStyle w:val="Paragrafoelenco"/>
        <w:numPr>
          <w:ilvl w:val="0"/>
          <w:numId w:val="12"/>
        </w:numPr>
        <w:jc w:val="both"/>
      </w:pPr>
      <w:r>
        <w:t>Mappa catastale</w:t>
      </w:r>
    </w:p>
    <w:p w:rsidR="00F93220" w:rsidRDefault="00F93220" w:rsidP="00093AE2">
      <w:pPr>
        <w:pStyle w:val="Paragrafoelenco"/>
        <w:numPr>
          <w:ilvl w:val="0"/>
          <w:numId w:val="12"/>
        </w:numPr>
        <w:jc w:val="both"/>
      </w:pPr>
      <w:r>
        <w:t>IGM</w:t>
      </w:r>
    </w:p>
    <w:p w:rsidR="00F93220" w:rsidRDefault="00F93220" w:rsidP="00093AE2">
      <w:pPr>
        <w:pStyle w:val="Paragrafoelenco"/>
        <w:numPr>
          <w:ilvl w:val="0"/>
          <w:numId w:val="12"/>
        </w:numPr>
        <w:jc w:val="both"/>
      </w:pPr>
      <w:r>
        <w:t>Carta tecnica regionale</w:t>
      </w:r>
    </w:p>
    <w:p w:rsidR="009806B5" w:rsidRDefault="009806B5" w:rsidP="009806B5">
      <w:pPr>
        <w:pStyle w:val="Paragrafoelenco"/>
        <w:ind w:left="2520"/>
        <w:jc w:val="both"/>
      </w:pPr>
    </w:p>
    <w:p w:rsidR="008C679E" w:rsidRDefault="008C679E" w:rsidP="00093AE2">
      <w:pPr>
        <w:pStyle w:val="Paragrafoelenco"/>
        <w:numPr>
          <w:ilvl w:val="0"/>
          <w:numId w:val="2"/>
        </w:numPr>
        <w:jc w:val="both"/>
      </w:pPr>
      <w:r>
        <w:t>Ai sensi del D.P.R. 380/01, quali interventi sono soggetti a Comunicazione Inizio Lavori Asseverata (C.I.L.A.)?</w:t>
      </w:r>
    </w:p>
    <w:p w:rsidR="008C679E" w:rsidRDefault="008C679E" w:rsidP="00093AE2">
      <w:pPr>
        <w:pStyle w:val="Paragrafoelenco"/>
        <w:numPr>
          <w:ilvl w:val="0"/>
          <w:numId w:val="13"/>
        </w:numPr>
        <w:jc w:val="both"/>
      </w:pPr>
      <w:r>
        <w:t xml:space="preserve">Gli interventi di cui all’art. </w:t>
      </w:r>
      <w:proofErr w:type="gramStart"/>
      <w:r>
        <w:t>6  comma</w:t>
      </w:r>
      <w:proofErr w:type="gramEnd"/>
      <w:r>
        <w:t xml:space="preserve"> 2 </w:t>
      </w:r>
      <w:proofErr w:type="spellStart"/>
      <w:r>
        <w:t>lett</w:t>
      </w:r>
      <w:proofErr w:type="spellEnd"/>
      <w:r>
        <w:t>. “a” (interventi di manutenzione straordinaria</w:t>
      </w:r>
      <w:r w:rsidR="009806B5">
        <w:t>)</w:t>
      </w:r>
      <w:r>
        <w:t xml:space="preserve"> e lettera  “e-bis” (modifiche interne di fabbricati adibiti ad esercizio d’impresa e che non riguardano parti strutturali dell’edificio)</w:t>
      </w:r>
    </w:p>
    <w:p w:rsidR="008C679E" w:rsidRDefault="008C679E" w:rsidP="00093AE2">
      <w:pPr>
        <w:pStyle w:val="Paragrafoelenco"/>
        <w:numPr>
          <w:ilvl w:val="0"/>
          <w:numId w:val="13"/>
        </w:numPr>
        <w:jc w:val="both"/>
      </w:pPr>
      <w:r>
        <w:t xml:space="preserve">Gli </w:t>
      </w:r>
      <w:r w:rsidR="009806B5">
        <w:t>i</w:t>
      </w:r>
      <w:r>
        <w:t xml:space="preserve">nterventi non riconducibili all’elenco degli interventi rientranti </w:t>
      </w:r>
      <w:proofErr w:type="gramStart"/>
      <w:r>
        <w:t>nelle  attività</w:t>
      </w:r>
      <w:proofErr w:type="gramEnd"/>
      <w:r>
        <w:t xml:space="preserve"> di edilizia libera (art. 6) , permesso di costruire (art. 10) e segnalazione certific</w:t>
      </w:r>
      <w:r w:rsidR="00011F95">
        <w:t>ata di inizio attività (art. 22)</w:t>
      </w:r>
    </w:p>
    <w:p w:rsidR="00011F95" w:rsidRDefault="00011F95" w:rsidP="00093AE2">
      <w:pPr>
        <w:pStyle w:val="Paragrafoelenco"/>
        <w:numPr>
          <w:ilvl w:val="0"/>
          <w:numId w:val="13"/>
        </w:numPr>
        <w:jc w:val="both"/>
      </w:pPr>
      <w:r>
        <w:t>La CILA è stata sostituita in toto dalla Comunicazione Inizio lavori (CIL)</w:t>
      </w:r>
    </w:p>
    <w:p w:rsidR="00EB3726" w:rsidRDefault="00EB3726" w:rsidP="00EB3726">
      <w:pPr>
        <w:pStyle w:val="Paragrafoelenco"/>
        <w:ind w:left="1440"/>
        <w:jc w:val="both"/>
      </w:pPr>
    </w:p>
    <w:p w:rsidR="00592998" w:rsidRDefault="00592998" w:rsidP="00093AE2">
      <w:pPr>
        <w:pStyle w:val="Paragrafoelenco"/>
        <w:numPr>
          <w:ilvl w:val="0"/>
          <w:numId w:val="2"/>
        </w:numPr>
        <w:jc w:val="both"/>
      </w:pPr>
      <w:r>
        <w:t>Ai sensi della legge urbanistica veneta un PUA di iniziativa privata può essere presentato dai soggetti che rappresentino almeno:</w:t>
      </w:r>
    </w:p>
    <w:p w:rsidR="00592998" w:rsidRDefault="00592998" w:rsidP="00093AE2">
      <w:pPr>
        <w:pStyle w:val="Paragrafoelenco"/>
        <w:numPr>
          <w:ilvl w:val="0"/>
          <w:numId w:val="14"/>
        </w:numPr>
        <w:jc w:val="both"/>
      </w:pPr>
      <w:r>
        <w:t>51% del valore degli immobili in base al relativo imponibile catastale, e comunque, almeno il 75% delle aree ricomprese nell’ambito</w:t>
      </w:r>
    </w:p>
    <w:p w:rsidR="00592998" w:rsidRDefault="00592998" w:rsidP="00093AE2">
      <w:pPr>
        <w:pStyle w:val="Paragrafoelenco"/>
        <w:numPr>
          <w:ilvl w:val="0"/>
          <w:numId w:val="14"/>
        </w:numPr>
        <w:jc w:val="both"/>
      </w:pPr>
      <w:r>
        <w:t>75% del valore degli immobili in base al relativo imponibile catastale, e comunque, almeno il 51% delle aree ricomprese nell’ambito</w:t>
      </w:r>
    </w:p>
    <w:p w:rsidR="00592998" w:rsidRDefault="00592998" w:rsidP="00093AE2">
      <w:pPr>
        <w:pStyle w:val="Paragrafoelenco"/>
        <w:numPr>
          <w:ilvl w:val="0"/>
          <w:numId w:val="14"/>
        </w:numPr>
        <w:jc w:val="both"/>
      </w:pPr>
      <w:r>
        <w:t>51% del valore degli immobili in base al relativo imponibile catastale, e comunque, almeno il 51% delle aree ricomprese nell’ambito</w:t>
      </w:r>
    </w:p>
    <w:p w:rsidR="009806B5" w:rsidRDefault="009806B5" w:rsidP="009806B5">
      <w:pPr>
        <w:pStyle w:val="Paragrafoelenco"/>
        <w:ind w:left="1440"/>
        <w:jc w:val="both"/>
      </w:pPr>
    </w:p>
    <w:p w:rsidR="00483535" w:rsidRDefault="00483535" w:rsidP="009806B5">
      <w:pPr>
        <w:pStyle w:val="Paragrafoelenco"/>
        <w:ind w:left="1440"/>
        <w:jc w:val="both"/>
      </w:pPr>
    </w:p>
    <w:p w:rsidR="00483535" w:rsidRDefault="00483535" w:rsidP="009806B5">
      <w:pPr>
        <w:pStyle w:val="Paragrafoelenco"/>
        <w:ind w:left="1440"/>
        <w:jc w:val="both"/>
      </w:pPr>
    </w:p>
    <w:p w:rsidR="00483535" w:rsidRDefault="00483535" w:rsidP="009806B5">
      <w:pPr>
        <w:pStyle w:val="Paragrafoelenco"/>
        <w:ind w:left="1440"/>
        <w:jc w:val="both"/>
      </w:pPr>
    </w:p>
    <w:p w:rsidR="00483535" w:rsidRDefault="00483535" w:rsidP="009806B5">
      <w:pPr>
        <w:pStyle w:val="Paragrafoelenco"/>
        <w:ind w:left="1440"/>
        <w:jc w:val="both"/>
      </w:pPr>
    </w:p>
    <w:p w:rsidR="00483535" w:rsidRDefault="00483535" w:rsidP="009806B5">
      <w:pPr>
        <w:pStyle w:val="Paragrafoelenco"/>
        <w:ind w:left="1440"/>
        <w:jc w:val="both"/>
      </w:pPr>
    </w:p>
    <w:p w:rsidR="00483535" w:rsidRDefault="00483535" w:rsidP="009806B5">
      <w:pPr>
        <w:pStyle w:val="Paragrafoelenco"/>
        <w:ind w:left="1440"/>
        <w:jc w:val="both"/>
      </w:pPr>
    </w:p>
    <w:p w:rsidR="00E16A0C" w:rsidRDefault="00E16A0C" w:rsidP="00093AE2">
      <w:pPr>
        <w:pStyle w:val="Paragrafoelenco"/>
        <w:numPr>
          <w:ilvl w:val="0"/>
          <w:numId w:val="2"/>
        </w:numPr>
        <w:jc w:val="both"/>
      </w:pPr>
      <w:r>
        <w:lastRenderedPageBreak/>
        <w:t>Ai sensi della normativa vigente, l’ottenimento dell’agibilità degli edifici:</w:t>
      </w:r>
    </w:p>
    <w:p w:rsidR="00E16A0C" w:rsidRDefault="00651D6B" w:rsidP="00093AE2">
      <w:pPr>
        <w:pStyle w:val="Paragrafoelenco"/>
        <w:numPr>
          <w:ilvl w:val="0"/>
          <w:numId w:val="15"/>
        </w:numPr>
        <w:jc w:val="both"/>
      </w:pPr>
      <w:r>
        <w:t>Viene ottenuta tramite rilascio da parte del Comune di un provvedimento espresso che viene denominato certificato di agibilità</w:t>
      </w:r>
    </w:p>
    <w:p w:rsidR="00651D6B" w:rsidRDefault="00651D6B" w:rsidP="00093AE2">
      <w:pPr>
        <w:pStyle w:val="Paragrafoelenco"/>
        <w:numPr>
          <w:ilvl w:val="0"/>
          <w:numId w:val="15"/>
        </w:numPr>
        <w:jc w:val="both"/>
      </w:pPr>
      <w:r>
        <w:t>Si ottiene tramite silenzio-assenso, decorsi 30 giorni dalla presentazione, nel caso sia stato rilasciato il parere ASL in sede di rilascio del permesso di costruire. In caso di autodichiarazione dei requisiti igienico-sanitari in sede di permesso di costruire, il termine per la formazione del silenzio-assenso è di 60 giorni</w:t>
      </w:r>
    </w:p>
    <w:p w:rsidR="00651D6B" w:rsidRDefault="00A75C3D" w:rsidP="00093AE2">
      <w:pPr>
        <w:pStyle w:val="Paragrafoelenco"/>
        <w:numPr>
          <w:ilvl w:val="0"/>
          <w:numId w:val="15"/>
        </w:numPr>
        <w:jc w:val="both"/>
      </w:pPr>
      <w:r>
        <w:t xml:space="preserve">E’ attestata mediante Segnalazione Certificata corredata da una attestazione del Direttore dei lavori o, qualora non nominato, di </w:t>
      </w:r>
      <w:r w:rsidR="00EC685A">
        <w:t>un professionista abilitato che assevera la sussistenza delle condizioni di sicurezza, igiene, salubrità, risparmio energetico degli edifici e degli impianti negli stessi installati, nonché la conformità dell’opera al progetto</w:t>
      </w:r>
    </w:p>
    <w:p w:rsidR="00E55F39" w:rsidRDefault="00E55F39" w:rsidP="00E55F39">
      <w:pPr>
        <w:pStyle w:val="Paragrafoelenco"/>
      </w:pPr>
    </w:p>
    <w:p w:rsidR="00132385" w:rsidRDefault="00132385" w:rsidP="00093AE2">
      <w:pPr>
        <w:pStyle w:val="Paragrafoelenco"/>
        <w:numPr>
          <w:ilvl w:val="0"/>
          <w:numId w:val="2"/>
        </w:numPr>
      </w:pPr>
      <w:r>
        <w:t>Cos’è il piano esecutivo di gestione?</w:t>
      </w:r>
    </w:p>
    <w:p w:rsidR="00E10699" w:rsidRDefault="00132385" w:rsidP="00093AE2">
      <w:pPr>
        <w:pStyle w:val="Paragrafoelenco"/>
        <w:numPr>
          <w:ilvl w:val="0"/>
          <w:numId w:val="16"/>
        </w:numPr>
        <w:spacing w:line="256" w:lineRule="auto"/>
      </w:pPr>
      <w:r>
        <w:t xml:space="preserve">È il documento contabile che viene approvato dal </w:t>
      </w:r>
      <w:r w:rsidR="00EB3726">
        <w:t>Consiglio</w:t>
      </w:r>
      <w:r>
        <w:t xml:space="preserve"> a fine esercizio e che dà </w:t>
      </w:r>
      <w:r w:rsidR="00E10699">
        <w:t xml:space="preserve"> </w:t>
      </w:r>
    </w:p>
    <w:p w:rsidR="00132385" w:rsidRDefault="00E10699" w:rsidP="00E10699">
      <w:pPr>
        <w:pStyle w:val="Paragrafoelenco"/>
        <w:spacing w:line="256" w:lineRule="auto"/>
        <w:ind w:left="851"/>
      </w:pPr>
      <w:r>
        <w:t xml:space="preserve">           </w:t>
      </w:r>
      <w:proofErr w:type="gramStart"/>
      <w:r w:rsidR="00132385">
        <w:t>indicazioni</w:t>
      </w:r>
      <w:proofErr w:type="gramEnd"/>
      <w:r w:rsidR="00132385">
        <w:t xml:space="preserve"> utili sugli effetti della gestione finanziaria dell’Ente</w:t>
      </w:r>
    </w:p>
    <w:p w:rsidR="00E10699" w:rsidRDefault="00132385" w:rsidP="00093AE2">
      <w:pPr>
        <w:pStyle w:val="Paragrafoelenco"/>
        <w:numPr>
          <w:ilvl w:val="0"/>
          <w:numId w:val="16"/>
        </w:numPr>
        <w:spacing w:line="256" w:lineRule="auto"/>
      </w:pPr>
      <w:r>
        <w:t xml:space="preserve">È lo strumento principale per la concreta gestione dell’Ente, con il quale le risorse </w:t>
      </w:r>
    </w:p>
    <w:p w:rsidR="00E10699" w:rsidRDefault="00E10699" w:rsidP="00E10699">
      <w:pPr>
        <w:pStyle w:val="Paragrafoelenco"/>
        <w:spacing w:line="256" w:lineRule="auto"/>
        <w:ind w:left="851"/>
      </w:pPr>
      <w:r>
        <w:t xml:space="preserve">           </w:t>
      </w:r>
      <w:r w:rsidR="00483535">
        <w:tab/>
      </w:r>
      <w:proofErr w:type="gramStart"/>
      <w:r w:rsidR="00132385">
        <w:t>contenute</w:t>
      </w:r>
      <w:proofErr w:type="gramEnd"/>
      <w:r w:rsidR="00132385">
        <w:t xml:space="preserve"> nei programmi sono ripartite in titoli, </w:t>
      </w:r>
      <w:proofErr w:type="spellStart"/>
      <w:r w:rsidR="00132385">
        <w:t>macroaggregati</w:t>
      </w:r>
      <w:proofErr w:type="spellEnd"/>
      <w:r w:rsidR="00132385">
        <w:t xml:space="preserve">, capitoli ed eventualmente </w:t>
      </w:r>
    </w:p>
    <w:p w:rsidR="00E10699" w:rsidRDefault="00E10699" w:rsidP="00E10699">
      <w:pPr>
        <w:pStyle w:val="Paragrafoelenco"/>
        <w:spacing w:line="256" w:lineRule="auto"/>
        <w:ind w:left="851"/>
      </w:pPr>
      <w:r>
        <w:t xml:space="preserve">          </w:t>
      </w:r>
      <w:r w:rsidR="00483535">
        <w:tab/>
      </w:r>
      <w:proofErr w:type="gramStart"/>
      <w:r w:rsidR="00132385">
        <w:t>in</w:t>
      </w:r>
      <w:proofErr w:type="gramEnd"/>
      <w:r w:rsidR="00132385">
        <w:t xml:space="preserve"> articoli ed attribuite ai vari responsabili di servizio, prescrivendo idonee direttive per la </w:t>
      </w:r>
    </w:p>
    <w:p w:rsidR="00132385" w:rsidRDefault="00E10699" w:rsidP="00E10699">
      <w:pPr>
        <w:pStyle w:val="Paragrafoelenco"/>
        <w:spacing w:line="256" w:lineRule="auto"/>
        <w:ind w:left="851"/>
      </w:pPr>
      <w:r>
        <w:t xml:space="preserve">          </w:t>
      </w:r>
      <w:r w:rsidR="00483535">
        <w:tab/>
      </w:r>
      <w:proofErr w:type="gramStart"/>
      <w:r w:rsidR="00132385">
        <w:t>concreta</w:t>
      </w:r>
      <w:proofErr w:type="gramEnd"/>
      <w:r w:rsidR="00132385">
        <w:t xml:space="preserve"> gestione delle singole tipologie di spesa</w:t>
      </w:r>
    </w:p>
    <w:p w:rsidR="00132385" w:rsidRDefault="00132385" w:rsidP="00093AE2">
      <w:pPr>
        <w:pStyle w:val="Paragrafoelenco"/>
        <w:numPr>
          <w:ilvl w:val="0"/>
          <w:numId w:val="16"/>
        </w:numPr>
        <w:spacing w:line="256" w:lineRule="auto"/>
      </w:pPr>
      <w:r>
        <w:t>È il documento programmatico, redatto dal sindaco e dalla giunta comunale neo-eletti, che traccia le linee direttive e gli obiettivi principali dell’azione politica dell’amministrazione durante i cinque anni di durata del mandato</w:t>
      </w:r>
    </w:p>
    <w:p w:rsidR="00132385" w:rsidRDefault="00132385" w:rsidP="00132385">
      <w:pPr>
        <w:pStyle w:val="Paragrafoelenco"/>
        <w:spacing w:line="256" w:lineRule="auto"/>
      </w:pPr>
    </w:p>
    <w:p w:rsidR="00132385" w:rsidRDefault="00132385" w:rsidP="00093AE2">
      <w:pPr>
        <w:pStyle w:val="Paragrafoelenco"/>
        <w:numPr>
          <w:ilvl w:val="0"/>
          <w:numId w:val="2"/>
        </w:numPr>
      </w:pPr>
      <w:r>
        <w:t>Per la sottoscrizione del contratto l’appaltatore deve costituire una “garanzia definitiva” a sua scelta sotto forma di cauzione o fideiussione per l’importo:</w:t>
      </w:r>
    </w:p>
    <w:p w:rsidR="00132385" w:rsidRDefault="00132385" w:rsidP="00093AE2">
      <w:pPr>
        <w:pStyle w:val="Paragrafoelenco"/>
        <w:numPr>
          <w:ilvl w:val="0"/>
          <w:numId w:val="16"/>
        </w:numPr>
        <w:spacing w:line="256" w:lineRule="auto"/>
      </w:pPr>
      <w:r>
        <w:t xml:space="preserve">Pari al 10 per cento dell’importo contrattuale massimo anche nel caso di procedure di gara </w:t>
      </w:r>
      <w:r w:rsidR="00E10699">
        <w:t xml:space="preserve">           </w:t>
      </w:r>
      <w:r>
        <w:t>non realizzate in forma aggregata da centrali di committenza</w:t>
      </w:r>
    </w:p>
    <w:p w:rsidR="00E10699" w:rsidRDefault="00132385" w:rsidP="00093AE2">
      <w:pPr>
        <w:pStyle w:val="Paragrafoelenco"/>
        <w:numPr>
          <w:ilvl w:val="0"/>
          <w:numId w:val="16"/>
        </w:numPr>
        <w:spacing w:line="256" w:lineRule="auto"/>
      </w:pPr>
      <w:r>
        <w:t xml:space="preserve">Pari al 10 per cento dell’importo contrattuale aumentata di tanti punti percentuali quanti </w:t>
      </w:r>
    </w:p>
    <w:p w:rsidR="00E10699" w:rsidRDefault="00E10699" w:rsidP="00E10699">
      <w:pPr>
        <w:pStyle w:val="Paragrafoelenco"/>
        <w:spacing w:line="256" w:lineRule="auto"/>
        <w:ind w:left="851"/>
      </w:pPr>
      <w:r>
        <w:t xml:space="preserve">           </w:t>
      </w:r>
      <w:proofErr w:type="gramStart"/>
      <w:r w:rsidR="00132385">
        <w:t>sono</w:t>
      </w:r>
      <w:proofErr w:type="gramEnd"/>
      <w:r w:rsidR="00132385">
        <w:t xml:space="preserve"> quelli eccedenti il 10 per cento in caso di aggiudicazione con ribassi superiori al venti</w:t>
      </w:r>
    </w:p>
    <w:p w:rsidR="00132385" w:rsidRDefault="00E10699" w:rsidP="00E10699">
      <w:pPr>
        <w:pStyle w:val="Paragrafoelenco"/>
        <w:spacing w:line="256" w:lineRule="auto"/>
        <w:ind w:left="851"/>
      </w:pPr>
      <w:r>
        <w:t xml:space="preserve">          </w:t>
      </w:r>
      <w:r w:rsidR="00132385">
        <w:t xml:space="preserve"> </w:t>
      </w:r>
      <w:proofErr w:type="gramStart"/>
      <w:r w:rsidR="00132385">
        <w:t>per</w:t>
      </w:r>
      <w:proofErr w:type="gramEnd"/>
      <w:r w:rsidR="00132385">
        <w:t xml:space="preserve"> cento</w:t>
      </w:r>
    </w:p>
    <w:p w:rsidR="00E10699" w:rsidRDefault="00132385" w:rsidP="00093AE2">
      <w:pPr>
        <w:pStyle w:val="Paragrafoelenco"/>
        <w:numPr>
          <w:ilvl w:val="0"/>
          <w:numId w:val="17"/>
        </w:numPr>
        <w:spacing w:line="256" w:lineRule="auto"/>
      </w:pPr>
      <w:r>
        <w:t xml:space="preserve">Pari al 10 per cento dell’importo contrattuale aumentata di tanti punti percentuali quanti </w:t>
      </w:r>
    </w:p>
    <w:p w:rsidR="00E10699" w:rsidRDefault="00E10699" w:rsidP="00E10699">
      <w:pPr>
        <w:pStyle w:val="Paragrafoelenco"/>
        <w:spacing w:line="256" w:lineRule="auto"/>
        <w:ind w:left="851"/>
      </w:pPr>
      <w:r>
        <w:t xml:space="preserve">           </w:t>
      </w:r>
      <w:proofErr w:type="gramStart"/>
      <w:r w:rsidR="00132385">
        <w:t>sono</w:t>
      </w:r>
      <w:proofErr w:type="gramEnd"/>
      <w:r w:rsidR="00132385">
        <w:t xml:space="preserve"> quelli eccedenti il 10 per cento in caso di aggiudicazione con ribassi superiori al dieci </w:t>
      </w:r>
    </w:p>
    <w:p w:rsidR="00E10699" w:rsidRDefault="00E10699" w:rsidP="00E10699">
      <w:pPr>
        <w:pStyle w:val="Paragrafoelenco"/>
        <w:spacing w:line="256" w:lineRule="auto"/>
        <w:ind w:left="851"/>
      </w:pPr>
      <w:r>
        <w:t xml:space="preserve">           </w:t>
      </w:r>
      <w:proofErr w:type="gramStart"/>
      <w:r w:rsidR="00132385">
        <w:t>per</w:t>
      </w:r>
      <w:proofErr w:type="gramEnd"/>
      <w:r w:rsidR="00132385">
        <w:t xml:space="preserve"> cento e aumentata di due punti percentuali per ogni punto di ribasso superiore al venti </w:t>
      </w:r>
    </w:p>
    <w:p w:rsidR="00132385" w:rsidRDefault="00E10699" w:rsidP="00E10699">
      <w:pPr>
        <w:pStyle w:val="Paragrafoelenco"/>
        <w:spacing w:line="256" w:lineRule="auto"/>
        <w:ind w:left="851"/>
      </w:pPr>
      <w:r>
        <w:t xml:space="preserve">           </w:t>
      </w:r>
      <w:proofErr w:type="gramStart"/>
      <w:r w:rsidR="00132385">
        <w:t>per</w:t>
      </w:r>
      <w:proofErr w:type="gramEnd"/>
      <w:r w:rsidR="00132385">
        <w:t xml:space="preserve"> cento ove il ribasso sia superiore al venti per cento</w:t>
      </w:r>
    </w:p>
    <w:p w:rsidR="00132385" w:rsidRDefault="00132385" w:rsidP="00132385">
      <w:pPr>
        <w:pStyle w:val="Paragrafoelenco"/>
        <w:spacing w:line="256" w:lineRule="auto"/>
      </w:pPr>
    </w:p>
    <w:p w:rsidR="00132385" w:rsidRDefault="00132385" w:rsidP="00093AE2">
      <w:pPr>
        <w:pStyle w:val="Paragrafoelenco"/>
        <w:numPr>
          <w:ilvl w:val="0"/>
          <w:numId w:val="2"/>
        </w:numPr>
      </w:pPr>
      <w:r>
        <w:t xml:space="preserve">Fermo restando quanto previsto dagli articoli 88, comma 4-ter, e 92, comma 4, del decreto legislativo 6 settembre 2011, n. 159, la stazione appaltante può recedere dal contratto (art. 109 del </w:t>
      </w:r>
      <w:proofErr w:type="spellStart"/>
      <w:r>
        <w:t>D.Lgs.</w:t>
      </w:r>
      <w:proofErr w:type="spellEnd"/>
      <w:r>
        <w:t xml:space="preserve"> 50/2016):</w:t>
      </w:r>
    </w:p>
    <w:p w:rsidR="00E10699" w:rsidRDefault="00132385" w:rsidP="00093AE2">
      <w:pPr>
        <w:pStyle w:val="Paragrafoelenco"/>
        <w:numPr>
          <w:ilvl w:val="0"/>
          <w:numId w:val="17"/>
        </w:numPr>
        <w:spacing w:line="256" w:lineRule="auto"/>
      </w:pPr>
      <w:r>
        <w:t>Solo in accordo con l’appaltatore qualora non sia già stato realizzato il 50% delle opere</w:t>
      </w:r>
    </w:p>
    <w:p w:rsidR="00132385" w:rsidRDefault="00E10699" w:rsidP="00E10699">
      <w:pPr>
        <w:pStyle w:val="Paragrafoelenco"/>
        <w:spacing w:line="256" w:lineRule="auto"/>
      </w:pPr>
      <w:r>
        <w:t xml:space="preserve">             </w:t>
      </w:r>
      <w:r w:rsidR="00132385">
        <w:t xml:space="preserve"> </w:t>
      </w:r>
      <w:r w:rsidR="00483535">
        <w:t xml:space="preserve">    </w:t>
      </w:r>
      <w:proofErr w:type="gramStart"/>
      <w:r w:rsidR="00132385">
        <w:t>previste</w:t>
      </w:r>
      <w:proofErr w:type="gramEnd"/>
      <w:r w:rsidR="00132385">
        <w:t xml:space="preserve"> nel contratto</w:t>
      </w:r>
    </w:p>
    <w:p w:rsidR="00132385" w:rsidRDefault="00132385" w:rsidP="00093AE2">
      <w:pPr>
        <w:pStyle w:val="Paragrafoelenco"/>
        <w:numPr>
          <w:ilvl w:val="0"/>
          <w:numId w:val="17"/>
        </w:numPr>
        <w:spacing w:line="256" w:lineRule="auto"/>
      </w:pPr>
      <w:r>
        <w:t>In caso di fallimento dell’appaltatore</w:t>
      </w:r>
    </w:p>
    <w:p w:rsidR="00132385" w:rsidRDefault="00132385" w:rsidP="00093AE2">
      <w:pPr>
        <w:pStyle w:val="Paragrafoelenco"/>
        <w:numPr>
          <w:ilvl w:val="0"/>
          <w:numId w:val="17"/>
        </w:numPr>
        <w:spacing w:line="256" w:lineRule="auto"/>
      </w:pPr>
      <w:r>
        <w:t>In qualunque tempo previo pagamento dei lavori eseguiti, oltre al decimo dell’importo delle opere non eseguite</w:t>
      </w:r>
    </w:p>
    <w:p w:rsidR="00132385" w:rsidRDefault="00132385" w:rsidP="00132385">
      <w:pPr>
        <w:pStyle w:val="Paragrafoelenco"/>
        <w:spacing w:line="256" w:lineRule="auto"/>
      </w:pPr>
    </w:p>
    <w:p w:rsidR="00132385" w:rsidRDefault="00132385" w:rsidP="00093AE2">
      <w:pPr>
        <w:pStyle w:val="Paragrafoelenco"/>
        <w:numPr>
          <w:ilvl w:val="0"/>
          <w:numId w:val="2"/>
        </w:numPr>
      </w:pPr>
      <w:r>
        <w:t>Gli interventi di manutenzione straordinaria di cui all’art. 3, comma 1, lettera b), che riguardino parti strutturali dell’edificio, sono soggette a:</w:t>
      </w:r>
    </w:p>
    <w:p w:rsidR="00132385" w:rsidRDefault="00132385" w:rsidP="00093AE2">
      <w:pPr>
        <w:pStyle w:val="Paragrafoelenco"/>
        <w:numPr>
          <w:ilvl w:val="0"/>
          <w:numId w:val="18"/>
        </w:numPr>
        <w:spacing w:line="256" w:lineRule="auto"/>
      </w:pPr>
      <w:r>
        <w:t>Comunicazione Inizio Lavori Asseverata (CILA)</w:t>
      </w:r>
    </w:p>
    <w:p w:rsidR="00132385" w:rsidRDefault="00132385" w:rsidP="00093AE2">
      <w:pPr>
        <w:pStyle w:val="Paragrafoelenco"/>
        <w:numPr>
          <w:ilvl w:val="0"/>
          <w:numId w:val="18"/>
        </w:numPr>
        <w:spacing w:line="256" w:lineRule="auto"/>
      </w:pPr>
      <w:r>
        <w:t>Segnalazione certificata di inizio attività (SCIA)</w:t>
      </w:r>
    </w:p>
    <w:p w:rsidR="00132385" w:rsidRDefault="00132385" w:rsidP="00093AE2">
      <w:pPr>
        <w:pStyle w:val="Paragrafoelenco"/>
        <w:numPr>
          <w:ilvl w:val="0"/>
          <w:numId w:val="18"/>
        </w:numPr>
        <w:spacing w:line="256" w:lineRule="auto"/>
      </w:pPr>
      <w:r>
        <w:t>Permesso di costruire</w:t>
      </w:r>
    </w:p>
    <w:p w:rsidR="00036A52" w:rsidRDefault="00036A52" w:rsidP="00132385">
      <w:pPr>
        <w:pStyle w:val="Paragrafoelenco"/>
        <w:spacing w:line="256" w:lineRule="auto"/>
      </w:pPr>
    </w:p>
    <w:p w:rsidR="00132385" w:rsidRDefault="00132385" w:rsidP="00093AE2">
      <w:pPr>
        <w:pStyle w:val="Paragrafoelenco"/>
        <w:numPr>
          <w:ilvl w:val="0"/>
          <w:numId w:val="2"/>
        </w:numPr>
      </w:pPr>
      <w:r>
        <w:t xml:space="preserve">Nella verifica preventiva della progettazione (art. 26 del </w:t>
      </w:r>
      <w:proofErr w:type="spellStart"/>
      <w:r>
        <w:t>D.Lgs.</w:t>
      </w:r>
      <w:proofErr w:type="spellEnd"/>
      <w:r>
        <w:t xml:space="preserve"> 50/2016) la validazione è:</w:t>
      </w:r>
    </w:p>
    <w:p w:rsidR="00132385" w:rsidRDefault="00132385" w:rsidP="00093AE2">
      <w:pPr>
        <w:pStyle w:val="Paragrafoelenco"/>
        <w:numPr>
          <w:ilvl w:val="0"/>
          <w:numId w:val="19"/>
        </w:numPr>
        <w:spacing w:line="256" w:lineRule="auto"/>
      </w:pPr>
      <w:r>
        <w:t>Il documento che sottoscrivono congiuntamente il progett</w:t>
      </w:r>
      <w:r w:rsidR="009806B5">
        <w:t>ista ed il direttore dei lavori</w:t>
      </w:r>
    </w:p>
    <w:p w:rsidR="00132385" w:rsidRDefault="00132385" w:rsidP="00093AE2">
      <w:pPr>
        <w:pStyle w:val="Paragrafoelenco"/>
        <w:numPr>
          <w:ilvl w:val="0"/>
          <w:numId w:val="19"/>
        </w:numPr>
        <w:spacing w:line="256" w:lineRule="auto"/>
      </w:pPr>
      <w:r>
        <w:t>L’atto formale che riporta gli es</w:t>
      </w:r>
      <w:r w:rsidR="009806B5">
        <w:t>iti della verifica del progetto</w:t>
      </w:r>
    </w:p>
    <w:p w:rsidR="00132385" w:rsidRDefault="00132385" w:rsidP="00093AE2">
      <w:pPr>
        <w:pStyle w:val="Paragrafoelenco"/>
        <w:numPr>
          <w:ilvl w:val="0"/>
          <w:numId w:val="19"/>
        </w:numPr>
        <w:spacing w:line="256" w:lineRule="auto"/>
      </w:pPr>
      <w:r>
        <w:t>L’atto che la Giunta Comunale emana dopo l’approvazione del progetto</w:t>
      </w:r>
    </w:p>
    <w:p w:rsidR="00132385" w:rsidRDefault="00132385" w:rsidP="00036A52">
      <w:pPr>
        <w:pStyle w:val="Paragrafoelenco"/>
        <w:spacing w:line="256" w:lineRule="auto"/>
        <w:ind w:hanging="11"/>
      </w:pPr>
    </w:p>
    <w:p w:rsidR="00132385" w:rsidRDefault="00132385" w:rsidP="00093AE2">
      <w:pPr>
        <w:pStyle w:val="Paragrafoelenco"/>
        <w:numPr>
          <w:ilvl w:val="0"/>
          <w:numId w:val="2"/>
        </w:numPr>
      </w:pPr>
      <w:r>
        <w:t>A norma del D.P.R. 327/2001 un bene è sottoposto al vincolo preordinato all’esproprio:</w:t>
      </w:r>
    </w:p>
    <w:p w:rsidR="00E10699" w:rsidRDefault="00132385" w:rsidP="00093AE2">
      <w:pPr>
        <w:pStyle w:val="Paragrafoelenco"/>
        <w:numPr>
          <w:ilvl w:val="0"/>
          <w:numId w:val="20"/>
        </w:numPr>
        <w:spacing w:line="256" w:lineRule="auto"/>
      </w:pPr>
      <w:r>
        <w:t>Quando diventa efficace l’atto di approvazione del piano urbanistico generale, ovvero una</w:t>
      </w:r>
    </w:p>
    <w:p w:rsidR="00132385" w:rsidRDefault="00E10699" w:rsidP="00E10699">
      <w:pPr>
        <w:pStyle w:val="Paragrafoelenco"/>
        <w:spacing w:line="256" w:lineRule="auto"/>
      </w:pPr>
      <w:r>
        <w:t xml:space="preserve">             </w:t>
      </w:r>
      <w:r w:rsidR="00132385">
        <w:t xml:space="preserve"> </w:t>
      </w:r>
      <w:proofErr w:type="gramStart"/>
      <w:r w:rsidR="00132385">
        <w:t>sua</w:t>
      </w:r>
      <w:proofErr w:type="gramEnd"/>
      <w:r w:rsidR="00132385">
        <w:t xml:space="preserve"> variante, che prevede la realizzazione di un’opera pubblica o di pubblica utilità</w:t>
      </w:r>
    </w:p>
    <w:p w:rsidR="00E10699" w:rsidRDefault="00132385" w:rsidP="00093AE2">
      <w:pPr>
        <w:pStyle w:val="Paragrafoelenco"/>
        <w:numPr>
          <w:ilvl w:val="0"/>
          <w:numId w:val="20"/>
        </w:numPr>
        <w:spacing w:line="256" w:lineRule="auto"/>
      </w:pPr>
      <w:r>
        <w:t xml:space="preserve">Solo nel momento in cui è stata determinata, anche se in via provvisoria, l’indennità di </w:t>
      </w:r>
    </w:p>
    <w:p w:rsidR="00132385" w:rsidRDefault="00E10699" w:rsidP="00E10699">
      <w:pPr>
        <w:pStyle w:val="Paragrafoelenco"/>
        <w:spacing w:line="256" w:lineRule="auto"/>
      </w:pPr>
      <w:r>
        <w:t xml:space="preserve">              </w:t>
      </w:r>
      <w:proofErr w:type="gramStart"/>
      <w:r w:rsidR="00132385">
        <w:t>esproprio</w:t>
      </w:r>
      <w:proofErr w:type="gramEnd"/>
    </w:p>
    <w:p w:rsidR="00132385" w:rsidRDefault="00483535" w:rsidP="00093AE2">
      <w:pPr>
        <w:pStyle w:val="Paragrafoelenco"/>
        <w:numPr>
          <w:ilvl w:val="0"/>
          <w:numId w:val="20"/>
        </w:numPr>
        <w:spacing w:line="256" w:lineRule="auto"/>
      </w:pPr>
      <w:r>
        <w:t>S</w:t>
      </w:r>
      <w:r w:rsidR="00132385">
        <w:t>olo quando diventa efficace il vincolo di edificabilità</w:t>
      </w:r>
      <w:r w:rsidR="00EB3726">
        <w:t>.</w:t>
      </w:r>
    </w:p>
    <w:sectPr w:rsidR="00132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kGothic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D76"/>
    <w:multiLevelType w:val="hybridMultilevel"/>
    <w:tmpl w:val="6BBA3CC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44D9D"/>
    <w:multiLevelType w:val="hybridMultilevel"/>
    <w:tmpl w:val="852EAB9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E4971"/>
    <w:multiLevelType w:val="hybridMultilevel"/>
    <w:tmpl w:val="73DE9FB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E52AA"/>
    <w:multiLevelType w:val="hybridMultilevel"/>
    <w:tmpl w:val="F8FC69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17A1"/>
    <w:multiLevelType w:val="hybridMultilevel"/>
    <w:tmpl w:val="D2A23EB4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95761B1"/>
    <w:multiLevelType w:val="hybridMultilevel"/>
    <w:tmpl w:val="5590C7C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AD50F2F"/>
    <w:multiLevelType w:val="hybridMultilevel"/>
    <w:tmpl w:val="4E9C2DA4"/>
    <w:lvl w:ilvl="0" w:tplc="0410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 w15:restartNumberingAfterBreak="0">
    <w:nsid w:val="22D337AA"/>
    <w:multiLevelType w:val="hybridMultilevel"/>
    <w:tmpl w:val="C8B2D48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A6479B1"/>
    <w:multiLevelType w:val="hybridMultilevel"/>
    <w:tmpl w:val="C8DC18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46D71"/>
    <w:multiLevelType w:val="hybridMultilevel"/>
    <w:tmpl w:val="E40A021E"/>
    <w:lvl w:ilvl="0" w:tplc="9CD65B7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90ACA"/>
    <w:multiLevelType w:val="hybridMultilevel"/>
    <w:tmpl w:val="0D40988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9B0661"/>
    <w:multiLevelType w:val="hybridMultilevel"/>
    <w:tmpl w:val="165C46E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C54496"/>
    <w:multiLevelType w:val="hybridMultilevel"/>
    <w:tmpl w:val="C930E4E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BB0C2F"/>
    <w:multiLevelType w:val="hybridMultilevel"/>
    <w:tmpl w:val="91A26842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2DD69DA"/>
    <w:multiLevelType w:val="hybridMultilevel"/>
    <w:tmpl w:val="8962F79A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9DC0A52"/>
    <w:multiLevelType w:val="hybridMultilevel"/>
    <w:tmpl w:val="F486469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2E255A"/>
    <w:multiLevelType w:val="hybridMultilevel"/>
    <w:tmpl w:val="9474A2B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AB6477"/>
    <w:multiLevelType w:val="hybridMultilevel"/>
    <w:tmpl w:val="D0F86A5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BB7186E"/>
    <w:multiLevelType w:val="hybridMultilevel"/>
    <w:tmpl w:val="8DD24406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C901869"/>
    <w:multiLevelType w:val="hybridMultilevel"/>
    <w:tmpl w:val="95463FE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2"/>
  </w:num>
  <w:num w:numId="5">
    <w:abstractNumId w:val="8"/>
  </w:num>
  <w:num w:numId="6">
    <w:abstractNumId w:val="13"/>
  </w:num>
  <w:num w:numId="7">
    <w:abstractNumId w:val="14"/>
  </w:num>
  <w:num w:numId="8">
    <w:abstractNumId w:val="17"/>
  </w:num>
  <w:num w:numId="9">
    <w:abstractNumId w:val="5"/>
  </w:num>
  <w:num w:numId="10">
    <w:abstractNumId w:val="4"/>
  </w:num>
  <w:num w:numId="11">
    <w:abstractNumId w:val="12"/>
  </w:num>
  <w:num w:numId="12">
    <w:abstractNumId w:val="6"/>
  </w:num>
  <w:num w:numId="13">
    <w:abstractNumId w:val="15"/>
  </w:num>
  <w:num w:numId="14">
    <w:abstractNumId w:val="1"/>
  </w:num>
  <w:num w:numId="15">
    <w:abstractNumId w:val="16"/>
  </w:num>
  <w:num w:numId="16">
    <w:abstractNumId w:val="7"/>
  </w:num>
  <w:num w:numId="17">
    <w:abstractNumId w:val="18"/>
  </w:num>
  <w:num w:numId="18">
    <w:abstractNumId w:val="11"/>
  </w:num>
  <w:num w:numId="19">
    <w:abstractNumId w:val="10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91"/>
    <w:rsid w:val="00011F95"/>
    <w:rsid w:val="00036A52"/>
    <w:rsid w:val="000761D9"/>
    <w:rsid w:val="00076F14"/>
    <w:rsid w:val="00093AE2"/>
    <w:rsid w:val="000F0C76"/>
    <w:rsid w:val="00132385"/>
    <w:rsid w:val="001A7763"/>
    <w:rsid w:val="00242CDE"/>
    <w:rsid w:val="002641A3"/>
    <w:rsid w:val="003624DB"/>
    <w:rsid w:val="003C3E17"/>
    <w:rsid w:val="003F7C5A"/>
    <w:rsid w:val="00483535"/>
    <w:rsid w:val="004C2137"/>
    <w:rsid w:val="004F21A8"/>
    <w:rsid w:val="005844DB"/>
    <w:rsid w:val="00592998"/>
    <w:rsid w:val="005C1B89"/>
    <w:rsid w:val="005F5012"/>
    <w:rsid w:val="00651D6B"/>
    <w:rsid w:val="00665457"/>
    <w:rsid w:val="006A2B8E"/>
    <w:rsid w:val="00752CA6"/>
    <w:rsid w:val="00757551"/>
    <w:rsid w:val="007C0691"/>
    <w:rsid w:val="007E28BA"/>
    <w:rsid w:val="008B25B2"/>
    <w:rsid w:val="008C679E"/>
    <w:rsid w:val="009806B5"/>
    <w:rsid w:val="00A75C3D"/>
    <w:rsid w:val="00C8517F"/>
    <w:rsid w:val="00D41FAE"/>
    <w:rsid w:val="00D84A31"/>
    <w:rsid w:val="00DB3E0F"/>
    <w:rsid w:val="00E10699"/>
    <w:rsid w:val="00E16A0C"/>
    <w:rsid w:val="00E55F39"/>
    <w:rsid w:val="00E86737"/>
    <w:rsid w:val="00E96A95"/>
    <w:rsid w:val="00EA4DB7"/>
    <w:rsid w:val="00EB262D"/>
    <w:rsid w:val="00EB3726"/>
    <w:rsid w:val="00EC685A"/>
    <w:rsid w:val="00F4431C"/>
    <w:rsid w:val="00F6452F"/>
    <w:rsid w:val="00F93220"/>
    <w:rsid w:val="00F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4DAE4-4FAB-4139-A261-D3A18A1A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36A52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036A52"/>
    <w:pPr>
      <w:keepNext/>
      <w:spacing w:after="0" w:line="240" w:lineRule="auto"/>
      <w:jc w:val="center"/>
      <w:outlineLvl w:val="1"/>
    </w:pPr>
    <w:rPr>
      <w:rFonts w:ascii="BankGothic Lt BT" w:eastAsia="Times New Roman" w:hAnsi="BankGothic Lt BT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6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C5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36A5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036A52"/>
    <w:rPr>
      <w:rFonts w:ascii="BankGothic Lt BT" w:eastAsia="Times New Roman" w:hAnsi="BankGothic Lt B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cp:lastPrinted>2019-04-17T11:00:00Z</cp:lastPrinted>
  <dcterms:created xsi:type="dcterms:W3CDTF">2019-04-17T11:06:00Z</dcterms:created>
  <dcterms:modified xsi:type="dcterms:W3CDTF">2019-04-17T11:06:00Z</dcterms:modified>
</cp:coreProperties>
</file>