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7D" w:rsidRDefault="006D267D" w:rsidP="006D267D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7D" w:rsidRDefault="006D267D" w:rsidP="006D267D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6D267D" w:rsidRDefault="006D267D" w:rsidP="006D267D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6D267D" w:rsidRDefault="006D267D" w:rsidP="006D267D">
      <w:pPr>
        <w:rPr>
          <w:lang w:eastAsia="it-IT"/>
        </w:rPr>
      </w:pPr>
    </w:p>
    <w:p w:rsidR="006D267D" w:rsidRDefault="006D267D" w:rsidP="006D267D">
      <w:pPr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QUIZ. N. 3</w:t>
      </w:r>
    </w:p>
    <w:p w:rsidR="006D267D" w:rsidRDefault="006D267D" w:rsidP="00EC685A"/>
    <w:p w:rsidR="007C0691" w:rsidRDefault="007C0691" w:rsidP="00EC685A">
      <w:pPr>
        <w:pStyle w:val="Paragrafoelenco"/>
        <w:numPr>
          <w:ilvl w:val="0"/>
          <w:numId w:val="38"/>
        </w:numPr>
      </w:pPr>
      <w:r>
        <w:t>Chi rilascia il Certificato di regolare esecuzione dei lavori?</w:t>
      </w:r>
    </w:p>
    <w:p w:rsidR="007C0691" w:rsidRDefault="007C0691" w:rsidP="00EC685A">
      <w:pPr>
        <w:pStyle w:val="Paragrafoelenco"/>
        <w:numPr>
          <w:ilvl w:val="0"/>
          <w:numId w:val="4"/>
        </w:numPr>
      </w:pPr>
      <w:r>
        <w:t>Il D.L</w:t>
      </w:r>
    </w:p>
    <w:p w:rsidR="007C0691" w:rsidRDefault="007C0691" w:rsidP="00EC685A">
      <w:pPr>
        <w:pStyle w:val="Paragrafoelenco"/>
        <w:numPr>
          <w:ilvl w:val="0"/>
          <w:numId w:val="4"/>
        </w:numPr>
      </w:pPr>
      <w:r>
        <w:t>Il R.U.P.</w:t>
      </w:r>
    </w:p>
    <w:p w:rsidR="007C0691" w:rsidRDefault="007C0691" w:rsidP="00EC685A">
      <w:pPr>
        <w:pStyle w:val="Paragrafoelenco"/>
        <w:numPr>
          <w:ilvl w:val="0"/>
          <w:numId w:val="4"/>
        </w:numPr>
      </w:pPr>
      <w:r>
        <w:t>Il Collaudatore</w:t>
      </w:r>
    </w:p>
    <w:p w:rsidR="007C0691" w:rsidRDefault="007C0691" w:rsidP="007C0691">
      <w:pPr>
        <w:pStyle w:val="Paragrafoelenco"/>
        <w:ind w:left="1440"/>
      </w:pPr>
    </w:p>
    <w:p w:rsidR="007C0691" w:rsidRDefault="00076F14" w:rsidP="00EC685A">
      <w:pPr>
        <w:pStyle w:val="Paragrafoelenco"/>
        <w:numPr>
          <w:ilvl w:val="0"/>
          <w:numId w:val="38"/>
        </w:numPr>
      </w:pPr>
      <w:r>
        <w:t>Chi adotta il programma triennale delle opere pubbliche?</w:t>
      </w:r>
    </w:p>
    <w:p w:rsidR="00076F14" w:rsidRDefault="00076F14" w:rsidP="00EC685A">
      <w:pPr>
        <w:pStyle w:val="Paragrafoelenco"/>
        <w:numPr>
          <w:ilvl w:val="0"/>
          <w:numId w:val="7"/>
        </w:numPr>
      </w:pPr>
      <w:r>
        <w:t xml:space="preserve">Il </w:t>
      </w:r>
      <w:r w:rsidR="00F6452F">
        <w:t>Consiglio Comunale</w:t>
      </w:r>
    </w:p>
    <w:p w:rsidR="00076F14" w:rsidRDefault="00076F14" w:rsidP="00EC685A">
      <w:pPr>
        <w:pStyle w:val="Paragrafoelenco"/>
        <w:numPr>
          <w:ilvl w:val="0"/>
          <w:numId w:val="7"/>
        </w:numPr>
      </w:pPr>
      <w:r>
        <w:t>La Giunta Comunale</w:t>
      </w:r>
    </w:p>
    <w:p w:rsidR="00076F14" w:rsidRDefault="00076F14" w:rsidP="00EC685A">
      <w:pPr>
        <w:pStyle w:val="Paragrafoelenco"/>
        <w:numPr>
          <w:ilvl w:val="0"/>
          <w:numId w:val="7"/>
        </w:numPr>
      </w:pPr>
      <w:r>
        <w:t>Il R.U.P.</w:t>
      </w:r>
    </w:p>
    <w:p w:rsidR="00047C90" w:rsidRDefault="00047C90" w:rsidP="00047C90">
      <w:pPr>
        <w:pStyle w:val="Paragrafoelenco"/>
        <w:ind w:left="1440"/>
      </w:pPr>
    </w:p>
    <w:p w:rsidR="00076F14" w:rsidRDefault="002641A3" w:rsidP="00EC685A">
      <w:pPr>
        <w:pStyle w:val="Paragrafoelenco"/>
        <w:numPr>
          <w:ilvl w:val="0"/>
          <w:numId w:val="38"/>
        </w:numPr>
      </w:pPr>
      <w:r>
        <w:t>Chi approva il progetto definitivo di un’opera pubblica in adozione di variante allo strumento urbanistico?</w:t>
      </w:r>
    </w:p>
    <w:p w:rsidR="002641A3" w:rsidRDefault="002641A3" w:rsidP="00EC685A">
      <w:pPr>
        <w:pStyle w:val="Paragrafoelenco"/>
        <w:numPr>
          <w:ilvl w:val="0"/>
          <w:numId w:val="8"/>
        </w:numPr>
      </w:pPr>
      <w:r>
        <w:t>La Giunta Comunale</w:t>
      </w:r>
    </w:p>
    <w:p w:rsidR="002641A3" w:rsidRDefault="002641A3" w:rsidP="00EC685A">
      <w:pPr>
        <w:pStyle w:val="Paragrafoelenco"/>
        <w:numPr>
          <w:ilvl w:val="0"/>
          <w:numId w:val="8"/>
        </w:numPr>
      </w:pPr>
      <w:r>
        <w:t xml:space="preserve">Il </w:t>
      </w:r>
      <w:r w:rsidR="00F6452F">
        <w:t>Consiglio Comunale</w:t>
      </w:r>
      <w:r>
        <w:t xml:space="preserve"> </w:t>
      </w:r>
    </w:p>
    <w:p w:rsidR="002641A3" w:rsidRDefault="002641A3" w:rsidP="00EC685A">
      <w:pPr>
        <w:pStyle w:val="Paragrafoelenco"/>
        <w:numPr>
          <w:ilvl w:val="0"/>
          <w:numId w:val="8"/>
        </w:numPr>
      </w:pPr>
      <w:r>
        <w:t>Il R.U.P.</w:t>
      </w:r>
    </w:p>
    <w:p w:rsidR="002641A3" w:rsidRDefault="002641A3" w:rsidP="002641A3">
      <w:pPr>
        <w:pStyle w:val="Paragrafoelenco"/>
        <w:ind w:left="1440"/>
      </w:pPr>
    </w:p>
    <w:p w:rsidR="00C8517F" w:rsidRDefault="00C8517F" w:rsidP="00EC685A">
      <w:pPr>
        <w:pStyle w:val="Paragrafoelenco"/>
        <w:numPr>
          <w:ilvl w:val="0"/>
          <w:numId w:val="38"/>
        </w:numPr>
      </w:pPr>
      <w:r>
        <w:t>Nei S.A.L. di pagamento in corso d’opera di un lavoro pubblico, qual è la detrazione da applicare quale ritenuta per infortuni?</w:t>
      </w:r>
    </w:p>
    <w:p w:rsidR="00C8517F" w:rsidRDefault="00C8517F" w:rsidP="0012184F">
      <w:pPr>
        <w:pStyle w:val="Paragrafoelenco"/>
        <w:numPr>
          <w:ilvl w:val="0"/>
          <w:numId w:val="12"/>
        </w:numPr>
        <w:ind w:hanging="666"/>
      </w:pPr>
      <w:r>
        <w:t>0,5%</w:t>
      </w:r>
    </w:p>
    <w:p w:rsidR="00C8517F" w:rsidRDefault="00C8517F" w:rsidP="0012184F">
      <w:pPr>
        <w:pStyle w:val="Paragrafoelenco"/>
        <w:numPr>
          <w:ilvl w:val="0"/>
          <w:numId w:val="12"/>
        </w:numPr>
        <w:ind w:hanging="666"/>
      </w:pPr>
      <w:r>
        <w:t>1%</w:t>
      </w:r>
    </w:p>
    <w:p w:rsidR="00C8517F" w:rsidRDefault="00C8517F" w:rsidP="0012184F">
      <w:pPr>
        <w:pStyle w:val="Paragrafoelenco"/>
        <w:numPr>
          <w:ilvl w:val="0"/>
          <w:numId w:val="12"/>
        </w:numPr>
        <w:ind w:hanging="666"/>
      </w:pPr>
      <w:r>
        <w:t>2%</w:t>
      </w:r>
    </w:p>
    <w:p w:rsidR="00047C90" w:rsidRDefault="00047C90" w:rsidP="0012184F">
      <w:pPr>
        <w:pStyle w:val="Paragrafoelenco"/>
        <w:ind w:left="1800" w:hanging="666"/>
      </w:pPr>
    </w:p>
    <w:p w:rsidR="00D84A31" w:rsidRDefault="00D84A31" w:rsidP="00EC685A">
      <w:pPr>
        <w:pStyle w:val="Paragrafoelenco"/>
        <w:numPr>
          <w:ilvl w:val="0"/>
          <w:numId w:val="38"/>
        </w:numPr>
      </w:pPr>
      <w:r>
        <w:t>In quale fase progettuale di un’opera pubblica è previsto l’inizio della procedura d’esproprio?</w:t>
      </w:r>
    </w:p>
    <w:p w:rsidR="00D84A31" w:rsidRDefault="00757551" w:rsidP="000730EA">
      <w:pPr>
        <w:pStyle w:val="Paragrafoelenco"/>
        <w:numPr>
          <w:ilvl w:val="0"/>
          <w:numId w:val="15"/>
        </w:numPr>
        <w:ind w:hanging="666"/>
      </w:pPr>
      <w:r>
        <w:t>Fattibilità</w:t>
      </w:r>
    </w:p>
    <w:p w:rsidR="00757551" w:rsidRDefault="00757551" w:rsidP="000730EA">
      <w:pPr>
        <w:pStyle w:val="Paragrafoelenco"/>
        <w:numPr>
          <w:ilvl w:val="0"/>
          <w:numId w:val="15"/>
        </w:numPr>
        <w:ind w:hanging="666"/>
      </w:pPr>
      <w:r>
        <w:t>Definitiva</w:t>
      </w:r>
    </w:p>
    <w:p w:rsidR="00757551" w:rsidRDefault="00757551" w:rsidP="000730EA">
      <w:pPr>
        <w:pStyle w:val="Paragrafoelenco"/>
        <w:numPr>
          <w:ilvl w:val="0"/>
          <w:numId w:val="15"/>
        </w:numPr>
        <w:ind w:hanging="666"/>
      </w:pPr>
      <w:r>
        <w:t>Esecutiva</w:t>
      </w:r>
    </w:p>
    <w:p w:rsidR="00047C90" w:rsidRDefault="00047C90" w:rsidP="00047C90">
      <w:pPr>
        <w:pStyle w:val="Paragrafoelenco"/>
        <w:ind w:left="1800"/>
      </w:pPr>
    </w:p>
    <w:p w:rsidR="00757551" w:rsidRDefault="00757551" w:rsidP="00EC685A">
      <w:pPr>
        <w:pStyle w:val="Paragrafoelenco"/>
        <w:numPr>
          <w:ilvl w:val="0"/>
          <w:numId w:val="38"/>
        </w:numPr>
      </w:pPr>
      <w:r>
        <w:t>Nel quadro economico di un’opera pubblica i costi per la s</w:t>
      </w:r>
      <w:r w:rsidR="003F7C5A">
        <w:t>i</w:t>
      </w:r>
      <w:r>
        <w:t>curezza vanno indicati:</w:t>
      </w:r>
    </w:p>
    <w:p w:rsidR="00757551" w:rsidRDefault="00757551" w:rsidP="000730EA">
      <w:pPr>
        <w:pStyle w:val="Paragrafoelenco"/>
        <w:numPr>
          <w:ilvl w:val="0"/>
          <w:numId w:val="19"/>
        </w:numPr>
        <w:ind w:left="1843" w:hanging="709"/>
      </w:pPr>
      <w:r>
        <w:t>Nell’importo dei lavori</w:t>
      </w:r>
    </w:p>
    <w:p w:rsidR="00757551" w:rsidRDefault="00757551" w:rsidP="000730EA">
      <w:pPr>
        <w:pStyle w:val="Paragrafoelenco"/>
        <w:numPr>
          <w:ilvl w:val="0"/>
          <w:numId w:val="19"/>
        </w:numPr>
        <w:ind w:left="1843" w:hanging="709"/>
      </w:pPr>
      <w:r>
        <w:t>Nelle somme a disposizione</w:t>
      </w:r>
    </w:p>
    <w:p w:rsidR="00757551" w:rsidRDefault="00757551" w:rsidP="000730EA">
      <w:pPr>
        <w:pStyle w:val="Paragrafoelenco"/>
        <w:numPr>
          <w:ilvl w:val="0"/>
          <w:numId w:val="19"/>
        </w:numPr>
        <w:ind w:left="1843" w:hanging="709"/>
      </w:pPr>
      <w:r>
        <w:t>Negli imprevisti</w:t>
      </w:r>
    </w:p>
    <w:p w:rsidR="00047C90" w:rsidRDefault="00047C90" w:rsidP="00047C90">
      <w:pPr>
        <w:pStyle w:val="Paragrafoelenco"/>
        <w:ind w:left="2160"/>
      </w:pPr>
    </w:p>
    <w:p w:rsidR="00757551" w:rsidRDefault="00757551" w:rsidP="00EC685A">
      <w:pPr>
        <w:pStyle w:val="Paragrafoelenco"/>
        <w:numPr>
          <w:ilvl w:val="0"/>
          <w:numId w:val="38"/>
        </w:numPr>
      </w:pPr>
      <w:r>
        <w:t>Fino a quale importo è possibile affidare direttamente incarichi tecnici di progettazione?</w:t>
      </w:r>
    </w:p>
    <w:p w:rsidR="00757551" w:rsidRDefault="006A2B8E" w:rsidP="0059034C">
      <w:pPr>
        <w:pStyle w:val="Paragrafoelenco"/>
        <w:numPr>
          <w:ilvl w:val="0"/>
          <w:numId w:val="21"/>
        </w:numPr>
        <w:ind w:left="1843" w:hanging="850"/>
      </w:pPr>
      <w:r>
        <w:t>€ 20.000,00</w:t>
      </w:r>
    </w:p>
    <w:p w:rsidR="006A2B8E" w:rsidRDefault="006A2B8E" w:rsidP="0059034C">
      <w:pPr>
        <w:pStyle w:val="Paragrafoelenco"/>
        <w:numPr>
          <w:ilvl w:val="0"/>
          <w:numId w:val="21"/>
        </w:numPr>
        <w:ind w:left="1843" w:hanging="850"/>
      </w:pPr>
      <w:r>
        <w:t>€ 40.000,00</w:t>
      </w:r>
    </w:p>
    <w:p w:rsidR="006A2B8E" w:rsidRDefault="006A2B8E" w:rsidP="0059034C">
      <w:pPr>
        <w:pStyle w:val="Paragrafoelenco"/>
        <w:numPr>
          <w:ilvl w:val="0"/>
          <w:numId w:val="21"/>
        </w:numPr>
        <w:ind w:left="1843" w:hanging="850"/>
      </w:pPr>
      <w:r>
        <w:t>€ 50.000,00</w:t>
      </w:r>
    </w:p>
    <w:p w:rsidR="00047C90" w:rsidRDefault="00047C90" w:rsidP="0059034C">
      <w:pPr>
        <w:pStyle w:val="Paragrafoelenco"/>
        <w:ind w:left="1843" w:hanging="850"/>
      </w:pPr>
    </w:p>
    <w:p w:rsidR="000E43D4" w:rsidRDefault="000E43D4" w:rsidP="0059034C">
      <w:pPr>
        <w:pStyle w:val="Paragrafoelenco"/>
        <w:ind w:left="1843" w:hanging="850"/>
      </w:pPr>
    </w:p>
    <w:p w:rsidR="000E43D4" w:rsidRDefault="000E43D4" w:rsidP="0059034C">
      <w:pPr>
        <w:pStyle w:val="Paragrafoelenco"/>
        <w:ind w:left="1843" w:hanging="850"/>
      </w:pPr>
    </w:p>
    <w:p w:rsidR="006A2B8E" w:rsidRDefault="006A2B8E" w:rsidP="00EC685A">
      <w:pPr>
        <w:pStyle w:val="Paragrafoelenco"/>
        <w:numPr>
          <w:ilvl w:val="0"/>
          <w:numId w:val="38"/>
        </w:numPr>
      </w:pPr>
      <w:r>
        <w:lastRenderedPageBreak/>
        <w:t>Chi emette il certificato esecuzioni lavori ai fini della qualificazione SOA?</w:t>
      </w:r>
    </w:p>
    <w:p w:rsidR="006A2B8E" w:rsidRDefault="006A2B8E" w:rsidP="0059034C">
      <w:pPr>
        <w:pStyle w:val="Paragrafoelenco"/>
        <w:numPr>
          <w:ilvl w:val="0"/>
          <w:numId w:val="24"/>
        </w:numPr>
        <w:ind w:left="1418" w:hanging="284"/>
      </w:pPr>
      <w:r>
        <w:t>Il D.L.</w:t>
      </w:r>
    </w:p>
    <w:p w:rsidR="006A2B8E" w:rsidRDefault="006A2B8E" w:rsidP="0059034C">
      <w:pPr>
        <w:pStyle w:val="Paragrafoelenco"/>
        <w:numPr>
          <w:ilvl w:val="0"/>
          <w:numId w:val="24"/>
        </w:numPr>
        <w:ind w:left="1418" w:hanging="284"/>
      </w:pPr>
      <w:r>
        <w:t>Il R.U.P.</w:t>
      </w:r>
    </w:p>
    <w:p w:rsidR="006A2B8E" w:rsidRDefault="006A2B8E" w:rsidP="0059034C">
      <w:pPr>
        <w:pStyle w:val="Paragrafoelenco"/>
        <w:numPr>
          <w:ilvl w:val="0"/>
          <w:numId w:val="24"/>
        </w:numPr>
        <w:ind w:left="1418" w:hanging="284"/>
      </w:pPr>
      <w:r>
        <w:t>Il Collaudatore</w:t>
      </w:r>
    </w:p>
    <w:p w:rsidR="00047C90" w:rsidRDefault="00047C90" w:rsidP="00047C90">
      <w:pPr>
        <w:pStyle w:val="Paragrafoelenco"/>
        <w:ind w:left="2520"/>
      </w:pPr>
    </w:p>
    <w:p w:rsidR="00DB3E0F" w:rsidRDefault="00DB3E0F" w:rsidP="00EC685A">
      <w:pPr>
        <w:pStyle w:val="Paragrafoelenco"/>
        <w:numPr>
          <w:ilvl w:val="0"/>
          <w:numId w:val="38"/>
        </w:numPr>
        <w:jc w:val="both"/>
      </w:pPr>
      <w:r>
        <w:t>Qual è la differenza fra la convenzione di servizi e l’unione di comuni?</w:t>
      </w:r>
    </w:p>
    <w:p w:rsidR="00DB3E0F" w:rsidRDefault="00DB3E0F" w:rsidP="00EC685A">
      <w:pPr>
        <w:pStyle w:val="Paragrafoelenco"/>
        <w:numPr>
          <w:ilvl w:val="0"/>
          <w:numId w:val="30"/>
        </w:numPr>
        <w:jc w:val="both"/>
      </w:pPr>
      <w:r>
        <w:t>La convenzione si può costituire solo per un servizio, mentre l’unione si può costituire anche per una pluralità di servizi</w:t>
      </w:r>
    </w:p>
    <w:p w:rsidR="00DB3E0F" w:rsidRDefault="00DB3E0F" w:rsidP="00EC685A">
      <w:pPr>
        <w:pStyle w:val="Paragrafoelenco"/>
        <w:numPr>
          <w:ilvl w:val="0"/>
          <w:numId w:val="30"/>
        </w:numPr>
        <w:jc w:val="both"/>
      </w:pPr>
      <w:r>
        <w:t>La convenzione si può costituire solo per una pluralità di servizi, mentre l’unione si può costituire solo per un servizio</w:t>
      </w:r>
    </w:p>
    <w:p w:rsidR="00DB3E0F" w:rsidRDefault="00DB3E0F" w:rsidP="00EC685A">
      <w:pPr>
        <w:pStyle w:val="Paragrafoelenco"/>
        <w:numPr>
          <w:ilvl w:val="0"/>
          <w:numId w:val="30"/>
        </w:numPr>
        <w:jc w:val="both"/>
      </w:pPr>
      <w:r>
        <w:t>La convenzione di servizi è soltanto un accordo per la gestione associata di uno o più servizi, mentre l’unione di comuni è un ente giuridicamente autonomo, con organi, dipenden</w:t>
      </w:r>
      <w:r w:rsidR="00047C90">
        <w:t>ti, risorse e bilancio separati</w:t>
      </w:r>
    </w:p>
    <w:p w:rsidR="00047C90" w:rsidRDefault="00047C90" w:rsidP="00047C90">
      <w:pPr>
        <w:pStyle w:val="Paragrafoelenco"/>
        <w:ind w:left="1440"/>
        <w:jc w:val="both"/>
      </w:pPr>
    </w:p>
    <w:p w:rsidR="005844DB" w:rsidRDefault="005844DB" w:rsidP="00EC685A">
      <w:pPr>
        <w:pStyle w:val="Paragrafoelenco"/>
        <w:numPr>
          <w:ilvl w:val="0"/>
          <w:numId w:val="38"/>
        </w:numPr>
        <w:jc w:val="both"/>
      </w:pPr>
      <w:r>
        <w:t xml:space="preserve">Nel caso di realizzazione di un intervento edilizio in assenza del permesso di costruire, </w:t>
      </w:r>
      <w:r w:rsidR="00D41FAE">
        <w:t>l’accertamento di conformità per ottenere il permesso di costruire in sanatoria è possibile se:</w:t>
      </w:r>
    </w:p>
    <w:p w:rsidR="00D41FAE" w:rsidRDefault="00D41FAE" w:rsidP="0059034C">
      <w:pPr>
        <w:pStyle w:val="Paragrafoelenco"/>
        <w:numPr>
          <w:ilvl w:val="0"/>
          <w:numId w:val="36"/>
        </w:numPr>
        <w:ind w:left="1418" w:hanging="284"/>
        <w:jc w:val="both"/>
      </w:pPr>
      <w:r>
        <w:t>L’intervento è conforme alla disciplina urbanistica ed edilizia vigente al momento della realizzazione di tale intervento</w:t>
      </w:r>
    </w:p>
    <w:p w:rsidR="00D41FAE" w:rsidRDefault="00D41FAE" w:rsidP="0059034C">
      <w:pPr>
        <w:pStyle w:val="Paragrafoelenco"/>
        <w:numPr>
          <w:ilvl w:val="0"/>
          <w:numId w:val="36"/>
        </w:numPr>
        <w:ind w:left="1418" w:hanging="284"/>
        <w:jc w:val="both"/>
      </w:pPr>
      <w:r>
        <w:t>L’intervento è conforme alla disciplina urbanistica ed edilizia vigente al momento della presentazione della domanda</w:t>
      </w:r>
    </w:p>
    <w:p w:rsidR="00D41FAE" w:rsidRDefault="00D41FAE" w:rsidP="0059034C">
      <w:pPr>
        <w:pStyle w:val="Paragrafoelenco"/>
        <w:numPr>
          <w:ilvl w:val="0"/>
          <w:numId w:val="36"/>
        </w:numPr>
        <w:ind w:left="1418" w:hanging="284"/>
        <w:jc w:val="both"/>
      </w:pPr>
      <w:r>
        <w:t>L’intervento è conforme alla disciplina urbanistica ed edilizia vigente sia al momento della realizzazione dello stesso, sia al momento della presentazione della domanda</w:t>
      </w:r>
    </w:p>
    <w:p w:rsidR="009806B5" w:rsidRDefault="009806B5" w:rsidP="0059034C">
      <w:pPr>
        <w:pStyle w:val="Paragrafoelenco"/>
        <w:ind w:left="1418" w:hanging="284"/>
        <w:jc w:val="both"/>
      </w:pPr>
    </w:p>
    <w:p w:rsidR="00F93220" w:rsidRDefault="00F93220" w:rsidP="00EC685A">
      <w:pPr>
        <w:pStyle w:val="Paragrafoelenco"/>
        <w:numPr>
          <w:ilvl w:val="0"/>
          <w:numId w:val="38"/>
        </w:numPr>
        <w:jc w:val="both"/>
      </w:pPr>
      <w:r>
        <w:t>Quali sono gli organi amministrativi predisposti all’adozione ed all’approvazione del Piani Urbanistici Attuativi P.U.A. (tenendo conto del c.d. “decreto sviluppo”, Decreto Legge emanato in</w:t>
      </w:r>
      <w:r w:rsidR="008C679E">
        <w:t xml:space="preserve"> data 13/05/2011 n. 70 e convertito con Legge n. 106 del 12 luglio 2011)</w:t>
      </w:r>
    </w:p>
    <w:p w:rsidR="008C679E" w:rsidRDefault="008C679E" w:rsidP="00EC685A">
      <w:pPr>
        <w:pStyle w:val="Paragrafoelenco"/>
        <w:numPr>
          <w:ilvl w:val="0"/>
          <w:numId w:val="40"/>
        </w:numPr>
        <w:jc w:val="both"/>
      </w:pPr>
      <w:r>
        <w:t>Adozione: Giunta Comunale Approvazione: Giunta Comunale</w:t>
      </w:r>
    </w:p>
    <w:p w:rsidR="008C679E" w:rsidRDefault="008C679E" w:rsidP="00EC685A">
      <w:pPr>
        <w:pStyle w:val="Paragrafoelenco"/>
        <w:numPr>
          <w:ilvl w:val="0"/>
          <w:numId w:val="40"/>
        </w:numPr>
        <w:jc w:val="both"/>
      </w:pPr>
      <w:r>
        <w:t xml:space="preserve">Adozione: Giunta Comunale Approvazione: </w:t>
      </w:r>
      <w:r w:rsidR="00F6452F">
        <w:t>Consiglio Comunale</w:t>
      </w:r>
    </w:p>
    <w:p w:rsidR="008C679E" w:rsidRDefault="008C679E" w:rsidP="00EC685A">
      <w:pPr>
        <w:pStyle w:val="Paragrafoelenco"/>
        <w:numPr>
          <w:ilvl w:val="0"/>
          <w:numId w:val="40"/>
        </w:numPr>
        <w:jc w:val="both"/>
      </w:pPr>
      <w:r>
        <w:t xml:space="preserve">Adozione: </w:t>
      </w:r>
      <w:r w:rsidR="00F6452F">
        <w:t>Consiglio Comunale</w:t>
      </w:r>
      <w:r>
        <w:t xml:space="preserve"> Approvazione: </w:t>
      </w:r>
      <w:r w:rsidR="00F6452F">
        <w:t>Consiglio Comunale</w:t>
      </w:r>
    </w:p>
    <w:p w:rsidR="00047C90" w:rsidRDefault="00047C90" w:rsidP="00047C90">
      <w:pPr>
        <w:pStyle w:val="Paragrafoelenco"/>
        <w:ind w:left="1440"/>
        <w:jc w:val="both"/>
      </w:pPr>
    </w:p>
    <w:p w:rsidR="001A7763" w:rsidRDefault="001A7763" w:rsidP="00EC685A">
      <w:pPr>
        <w:pStyle w:val="Paragrafoelenco"/>
        <w:numPr>
          <w:ilvl w:val="0"/>
          <w:numId w:val="38"/>
        </w:numPr>
        <w:jc w:val="both"/>
      </w:pPr>
      <w:r>
        <w:t>Quando un piano urbanistico attuativo è stato adottato, qual è la tempistica di deposito presso la segreteria del Comune e per la presentazione delle osservazioni da parte della cittadinanza?</w:t>
      </w:r>
    </w:p>
    <w:p w:rsidR="001A7763" w:rsidRDefault="001A7763" w:rsidP="00EC685A">
      <w:pPr>
        <w:pStyle w:val="Paragrafoelenco"/>
        <w:numPr>
          <w:ilvl w:val="0"/>
          <w:numId w:val="44"/>
        </w:numPr>
        <w:jc w:val="both"/>
      </w:pPr>
      <w:r>
        <w:t>10 giorni di deposito e successivi 20 g</w:t>
      </w:r>
      <w:r w:rsidR="00592998">
        <w:t>ior</w:t>
      </w:r>
      <w:r>
        <w:t>ni per la presentazione delle osservazioni</w:t>
      </w:r>
    </w:p>
    <w:p w:rsidR="00592998" w:rsidRDefault="00592998" w:rsidP="00EC685A">
      <w:pPr>
        <w:pStyle w:val="Paragrafoelenco"/>
        <w:numPr>
          <w:ilvl w:val="0"/>
          <w:numId w:val="44"/>
        </w:numPr>
        <w:jc w:val="both"/>
      </w:pPr>
      <w:r>
        <w:t>30 giorni di deposito e successivi 30 giorni per la presentazione delle osservazioni</w:t>
      </w:r>
    </w:p>
    <w:p w:rsidR="001A7763" w:rsidRDefault="00592998" w:rsidP="00EC685A">
      <w:pPr>
        <w:pStyle w:val="Paragrafoelenco"/>
        <w:numPr>
          <w:ilvl w:val="0"/>
          <w:numId w:val="44"/>
        </w:numPr>
        <w:jc w:val="both"/>
      </w:pPr>
      <w:r>
        <w:t>30 giorni di deposito e 60 giorni (decorrenti dalla data di adozione) per la presentazione delle osservazioni</w:t>
      </w:r>
    </w:p>
    <w:p w:rsidR="009806B5" w:rsidRDefault="009806B5" w:rsidP="009806B5">
      <w:pPr>
        <w:pStyle w:val="Paragrafoelenco"/>
        <w:ind w:left="1440"/>
        <w:jc w:val="both"/>
      </w:pPr>
    </w:p>
    <w:p w:rsidR="00E16A0C" w:rsidRDefault="00E16A0C" w:rsidP="00EC685A">
      <w:pPr>
        <w:pStyle w:val="Paragrafoelenco"/>
        <w:numPr>
          <w:ilvl w:val="0"/>
          <w:numId w:val="38"/>
        </w:numPr>
        <w:jc w:val="both"/>
      </w:pPr>
      <w:r>
        <w:t>Efficacia temporale di un permesso di costruire:</w:t>
      </w:r>
    </w:p>
    <w:p w:rsidR="00E16A0C" w:rsidRDefault="00E16A0C" w:rsidP="0059034C">
      <w:pPr>
        <w:pStyle w:val="Paragrafoelenco"/>
        <w:numPr>
          <w:ilvl w:val="0"/>
          <w:numId w:val="47"/>
        </w:numPr>
        <w:ind w:left="1418" w:hanging="284"/>
        <w:jc w:val="both"/>
      </w:pPr>
      <w:r>
        <w:t>3 anni dalla data di rilascio</w:t>
      </w:r>
    </w:p>
    <w:p w:rsidR="00E16A0C" w:rsidRDefault="00E16A0C" w:rsidP="0059034C">
      <w:pPr>
        <w:pStyle w:val="Paragrafoelenco"/>
        <w:numPr>
          <w:ilvl w:val="0"/>
          <w:numId w:val="47"/>
        </w:numPr>
        <w:ind w:left="1418" w:hanging="284"/>
        <w:jc w:val="both"/>
      </w:pPr>
      <w:r>
        <w:t>3 anni dalla data di inizio lavori</w:t>
      </w:r>
    </w:p>
    <w:p w:rsidR="00E16A0C" w:rsidRDefault="00E16A0C" w:rsidP="0059034C">
      <w:pPr>
        <w:pStyle w:val="Paragrafoelenco"/>
        <w:numPr>
          <w:ilvl w:val="0"/>
          <w:numId w:val="47"/>
        </w:numPr>
        <w:ind w:left="1418" w:hanging="284"/>
        <w:jc w:val="both"/>
      </w:pPr>
      <w:r>
        <w:t>4 anni dalla data di rilascio</w:t>
      </w:r>
    </w:p>
    <w:p w:rsidR="009806B5" w:rsidRDefault="009806B5" w:rsidP="0059034C">
      <w:pPr>
        <w:pStyle w:val="Paragrafoelenco"/>
        <w:ind w:left="1418" w:hanging="284"/>
        <w:jc w:val="both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Gli accordi tra soggetti pubblici e privati nella pianificazione urbanistica sono possibili ai sensi della seguente normativa:</w:t>
      </w:r>
    </w:p>
    <w:p w:rsidR="00132385" w:rsidRDefault="00132385" w:rsidP="0059034C">
      <w:pPr>
        <w:pStyle w:val="Paragrafoelenco"/>
        <w:numPr>
          <w:ilvl w:val="0"/>
          <w:numId w:val="53"/>
        </w:numPr>
        <w:spacing w:line="256" w:lineRule="auto"/>
        <w:ind w:left="1418" w:hanging="284"/>
      </w:pPr>
      <w:r>
        <w:t>Art. 6 della L.R. 11/04</w:t>
      </w:r>
    </w:p>
    <w:p w:rsidR="00132385" w:rsidRDefault="00132385" w:rsidP="0059034C">
      <w:pPr>
        <w:pStyle w:val="Paragrafoelenco"/>
        <w:numPr>
          <w:ilvl w:val="0"/>
          <w:numId w:val="53"/>
        </w:numPr>
        <w:spacing w:line="256" w:lineRule="auto"/>
        <w:ind w:left="1418" w:hanging="284"/>
      </w:pPr>
      <w:r>
        <w:t xml:space="preserve">Art. 24 del </w:t>
      </w:r>
      <w:proofErr w:type="spellStart"/>
      <w:r>
        <w:t>D.Lgs.</w:t>
      </w:r>
      <w:proofErr w:type="spellEnd"/>
      <w:r>
        <w:t xml:space="preserve"> 267/2000</w:t>
      </w:r>
    </w:p>
    <w:p w:rsidR="00132385" w:rsidRDefault="00132385" w:rsidP="0059034C">
      <w:pPr>
        <w:pStyle w:val="Paragrafoelenco"/>
        <w:numPr>
          <w:ilvl w:val="0"/>
          <w:numId w:val="53"/>
        </w:numPr>
        <w:spacing w:line="256" w:lineRule="auto"/>
        <w:ind w:left="1418" w:hanging="284"/>
      </w:pPr>
      <w:r>
        <w:t>Art. 8 della L.R. 11/04</w:t>
      </w:r>
    </w:p>
    <w:p w:rsidR="00132385" w:rsidRDefault="00132385" w:rsidP="0059034C">
      <w:pPr>
        <w:pStyle w:val="Paragrafoelenco"/>
        <w:spacing w:line="256" w:lineRule="auto"/>
        <w:ind w:left="1418" w:hanging="284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lastRenderedPageBreak/>
        <w:t>Ai sensi dell’art. 106 del D.Lg. 50/2016, la stazione appaltante può imporre all’appaltatore un aumento o una diminuzione delle prestazioni fino a:</w:t>
      </w:r>
    </w:p>
    <w:p w:rsidR="00132385" w:rsidRDefault="00132385" w:rsidP="0059034C">
      <w:pPr>
        <w:pStyle w:val="Paragrafoelenco"/>
        <w:numPr>
          <w:ilvl w:val="0"/>
          <w:numId w:val="58"/>
        </w:numPr>
        <w:spacing w:line="256" w:lineRule="auto"/>
        <w:ind w:left="1418" w:hanging="284"/>
      </w:pPr>
      <w:r>
        <w:t>Un terzo dell’importo del contratto</w:t>
      </w:r>
    </w:p>
    <w:p w:rsidR="00132385" w:rsidRDefault="00132385" w:rsidP="0059034C">
      <w:pPr>
        <w:pStyle w:val="Paragrafoelenco"/>
        <w:numPr>
          <w:ilvl w:val="0"/>
          <w:numId w:val="58"/>
        </w:numPr>
        <w:spacing w:line="256" w:lineRule="auto"/>
        <w:ind w:left="1418" w:hanging="284"/>
      </w:pPr>
      <w:r>
        <w:t>Un quarto dell’importo del contratto</w:t>
      </w:r>
    </w:p>
    <w:p w:rsidR="00132385" w:rsidRDefault="00132385" w:rsidP="0059034C">
      <w:pPr>
        <w:pStyle w:val="Paragrafoelenco"/>
        <w:numPr>
          <w:ilvl w:val="0"/>
          <w:numId w:val="58"/>
        </w:numPr>
        <w:spacing w:line="256" w:lineRule="auto"/>
        <w:ind w:left="1418" w:hanging="284"/>
      </w:pPr>
      <w:r>
        <w:t>Un quinto dell’importo del contratto</w:t>
      </w:r>
    </w:p>
    <w:p w:rsidR="00132385" w:rsidRDefault="00132385" w:rsidP="0059034C">
      <w:pPr>
        <w:pStyle w:val="Paragrafoelenco"/>
        <w:spacing w:line="256" w:lineRule="auto"/>
        <w:ind w:left="1418" w:hanging="284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Per lavori, servizi e forniture, quando il criterio di aggiudicazione è quello del prezzo più basso e comunque per importi inferiori alle soglie di cui all’art. 35 del </w:t>
      </w:r>
      <w:proofErr w:type="spellStart"/>
      <w:r>
        <w:t>D.Lgs.</w:t>
      </w:r>
      <w:proofErr w:type="spellEnd"/>
      <w:r>
        <w:t xml:space="preserve"> n. 50/2016, la stazione appaltante può prevedere nel bando l’esclusione automatica dalla gara delle offerte che presentano una percentuale di ribasso:</w:t>
      </w:r>
    </w:p>
    <w:p w:rsidR="00132385" w:rsidRDefault="00132385" w:rsidP="0059034C">
      <w:pPr>
        <w:pStyle w:val="Paragrafoelenco"/>
        <w:numPr>
          <w:ilvl w:val="0"/>
          <w:numId w:val="60"/>
        </w:numPr>
        <w:spacing w:line="256" w:lineRule="auto"/>
        <w:ind w:left="1418" w:hanging="284"/>
      </w:pPr>
      <w:r>
        <w:t>Pari o superiore alla soglia di anomalia quando il numero delle offe</w:t>
      </w:r>
      <w:r w:rsidR="009806B5">
        <w:t>rte ammesse è inferiore a dieci</w:t>
      </w:r>
    </w:p>
    <w:p w:rsidR="00132385" w:rsidRDefault="00132385" w:rsidP="0059034C">
      <w:pPr>
        <w:pStyle w:val="Paragrafoelenco"/>
        <w:numPr>
          <w:ilvl w:val="0"/>
          <w:numId w:val="60"/>
        </w:numPr>
        <w:spacing w:line="256" w:lineRule="auto"/>
        <w:ind w:left="1418" w:hanging="284"/>
      </w:pPr>
      <w:r>
        <w:t>Superiore alla soglia di anomalia quando il numero delle offe</w:t>
      </w:r>
      <w:r w:rsidR="009806B5">
        <w:t>rte ammesse è superiore a dieci</w:t>
      </w:r>
    </w:p>
    <w:p w:rsidR="00132385" w:rsidRDefault="00132385" w:rsidP="0059034C">
      <w:pPr>
        <w:pStyle w:val="Paragrafoelenco"/>
        <w:numPr>
          <w:ilvl w:val="0"/>
          <w:numId w:val="60"/>
        </w:numPr>
        <w:spacing w:line="256" w:lineRule="auto"/>
        <w:ind w:left="1418" w:hanging="284"/>
      </w:pPr>
      <w:r>
        <w:t xml:space="preserve">Pari o superiore alla soglia di anomalia quando il numero delle offerte </w:t>
      </w:r>
      <w:r w:rsidR="009806B5">
        <w:t>ammesse non è inferiore a dieci</w:t>
      </w:r>
    </w:p>
    <w:p w:rsidR="009806B5" w:rsidRDefault="009806B5" w:rsidP="009806B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L’esecuzione delle prestazioni affidate in subappalto può formare oggetto di ulteriore subappalto (art. 105 </w:t>
      </w:r>
      <w:proofErr w:type="spellStart"/>
      <w:r>
        <w:t>D.Lgs.</w:t>
      </w:r>
      <w:proofErr w:type="spellEnd"/>
      <w:r>
        <w:t xml:space="preserve"> 50/2016)?</w:t>
      </w:r>
    </w:p>
    <w:p w:rsidR="00132385" w:rsidRDefault="00132385" w:rsidP="0059034C">
      <w:pPr>
        <w:pStyle w:val="Paragrafoelenco"/>
        <w:numPr>
          <w:ilvl w:val="0"/>
          <w:numId w:val="63"/>
        </w:numPr>
        <w:spacing w:line="256" w:lineRule="auto"/>
        <w:ind w:firstLine="414"/>
      </w:pPr>
      <w:r>
        <w:t>Solo per appalti di importo superiore alla soglia di rilevanza comunitaria</w:t>
      </w:r>
    </w:p>
    <w:p w:rsidR="00132385" w:rsidRDefault="00132385" w:rsidP="0059034C">
      <w:pPr>
        <w:pStyle w:val="Paragrafoelenco"/>
        <w:numPr>
          <w:ilvl w:val="0"/>
          <w:numId w:val="63"/>
        </w:numPr>
        <w:spacing w:line="256" w:lineRule="auto"/>
        <w:ind w:firstLine="414"/>
      </w:pPr>
      <w:r>
        <w:t>Sempre</w:t>
      </w:r>
    </w:p>
    <w:p w:rsidR="00132385" w:rsidRDefault="00132385" w:rsidP="0059034C">
      <w:pPr>
        <w:pStyle w:val="Paragrafoelenco"/>
        <w:numPr>
          <w:ilvl w:val="0"/>
          <w:numId w:val="63"/>
        </w:numPr>
        <w:spacing w:line="256" w:lineRule="auto"/>
        <w:ind w:firstLine="414"/>
      </w:pPr>
      <w:r>
        <w:t>Mai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Ai sensi della L. 241/1990, nei procedimenti ad istanza di parte per il rilascio di provvedimenti amministrativi il silenzio dell’amministrazione competente equivale a provvedimento di accoglimento della domanda, senza necessità di ulteriori istanze o diffide:</w:t>
      </w:r>
    </w:p>
    <w:p w:rsidR="00132385" w:rsidRDefault="00132385" w:rsidP="0059034C">
      <w:pPr>
        <w:pStyle w:val="Paragrafoelenco"/>
        <w:numPr>
          <w:ilvl w:val="0"/>
          <w:numId w:val="69"/>
        </w:numPr>
        <w:spacing w:line="256" w:lineRule="auto"/>
        <w:ind w:left="1418" w:hanging="284"/>
      </w:pPr>
      <w:r>
        <w:t>Se l’amministrazione non comunica all’interessato, nel termine di legge il provvedimento di diniego, o non indice entro trenta giorni una conferenza di servizi</w:t>
      </w:r>
    </w:p>
    <w:p w:rsidR="00132385" w:rsidRDefault="00132385" w:rsidP="0059034C">
      <w:pPr>
        <w:pStyle w:val="Paragrafoelenco"/>
        <w:numPr>
          <w:ilvl w:val="0"/>
          <w:numId w:val="69"/>
        </w:numPr>
        <w:spacing w:line="256" w:lineRule="auto"/>
        <w:ind w:left="1418" w:hanging="284"/>
      </w:pPr>
      <w:r>
        <w:t>Il silenzio della pubblica amministrazione non equivale mai ad assenso, ma a silenzio-diniego</w:t>
      </w:r>
    </w:p>
    <w:p w:rsidR="00132385" w:rsidRDefault="00132385" w:rsidP="0059034C">
      <w:pPr>
        <w:pStyle w:val="Paragrafoelenco"/>
        <w:numPr>
          <w:ilvl w:val="0"/>
          <w:numId w:val="69"/>
        </w:numPr>
        <w:spacing w:line="256" w:lineRule="auto"/>
        <w:ind w:left="1418" w:hanging="284"/>
      </w:pPr>
      <w:r>
        <w:t>Se il responsabile del procedimento ritarda oltre il termine ordinario di trenta giorni la conclusione dell’istruttoria di competenza</w:t>
      </w:r>
    </w:p>
    <w:p w:rsidR="00132385" w:rsidRDefault="00132385" w:rsidP="0059034C">
      <w:pPr>
        <w:pStyle w:val="Paragrafoelenco"/>
        <w:spacing w:line="256" w:lineRule="auto"/>
        <w:ind w:left="1418" w:hanging="284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Per un determinato appalto l’operatore economico, singolo o in raggruppamento può soddisfare la richiesta relativa al possesso dei requisiti di carattere economico, finanziario, tecnico e professionale necessari per partecipare ad una procedura di gara nonché il possesso dei requisiti di qualificazione:</w:t>
      </w:r>
    </w:p>
    <w:p w:rsidR="00132385" w:rsidRDefault="00132385" w:rsidP="0059034C">
      <w:pPr>
        <w:pStyle w:val="Paragrafoelenco"/>
        <w:numPr>
          <w:ilvl w:val="0"/>
          <w:numId w:val="76"/>
        </w:numPr>
        <w:spacing w:line="256" w:lineRule="auto"/>
        <w:ind w:left="1418" w:hanging="284"/>
      </w:pPr>
      <w:r>
        <w:t>Avvalendosi delle capacità di altri soggetti, non partecipanti al raggruppamento, a prescindere dalla natura giuridica dei suoi legami con questi ultimi, in ogni caso con esclusione dei requisiti di cui all’ar</w:t>
      </w:r>
      <w:r w:rsidR="009806B5">
        <w:t xml:space="preserve">ticolo 80 del </w:t>
      </w:r>
      <w:proofErr w:type="spellStart"/>
      <w:r w:rsidR="009806B5">
        <w:t>D.Lgs.</w:t>
      </w:r>
      <w:proofErr w:type="spellEnd"/>
      <w:r w:rsidR="009806B5">
        <w:t xml:space="preserve"> n. 50/2016</w:t>
      </w:r>
    </w:p>
    <w:p w:rsidR="00132385" w:rsidRDefault="00132385" w:rsidP="0059034C">
      <w:pPr>
        <w:pStyle w:val="Paragrafoelenco"/>
        <w:numPr>
          <w:ilvl w:val="0"/>
          <w:numId w:val="76"/>
        </w:numPr>
        <w:spacing w:line="256" w:lineRule="auto"/>
        <w:ind w:left="1418" w:hanging="284"/>
      </w:pPr>
      <w:r>
        <w:t>Avvalendosi delle capacità di altri soggetti, anche di partecipanti al raggruppamento, a prescindere dalla natura giuridica dei sui legami con questi ultimi, compreso i requisiti di cui all’ar</w:t>
      </w:r>
      <w:r w:rsidR="009806B5">
        <w:t xml:space="preserve">ticolo 80 del </w:t>
      </w:r>
      <w:proofErr w:type="spellStart"/>
      <w:r w:rsidR="009806B5">
        <w:t>D.Lgs.</w:t>
      </w:r>
      <w:proofErr w:type="spellEnd"/>
      <w:r w:rsidR="009806B5">
        <w:t xml:space="preserve"> n. 50/2016</w:t>
      </w:r>
    </w:p>
    <w:p w:rsidR="00132385" w:rsidRDefault="00132385" w:rsidP="0059034C">
      <w:pPr>
        <w:pStyle w:val="Paragrafoelenco"/>
        <w:numPr>
          <w:ilvl w:val="0"/>
          <w:numId w:val="76"/>
        </w:numPr>
        <w:spacing w:line="256" w:lineRule="auto"/>
        <w:ind w:left="1418" w:hanging="284"/>
      </w:pPr>
      <w:r>
        <w:t xml:space="preserve">Avvalendosi delle capacità di altri soggetti, anche di partecipanti al raggruppamento, a prescindere dalla natura giuridica dei suoi legami con questi ultimi in ogni caso, con esclusione dei requisiti di cui all’articolo 80 del </w:t>
      </w:r>
      <w:proofErr w:type="spellStart"/>
      <w:r>
        <w:t>D.Lgs.</w:t>
      </w:r>
      <w:proofErr w:type="spellEnd"/>
      <w:r>
        <w:t xml:space="preserve"> n. 50/2016</w:t>
      </w:r>
    </w:p>
    <w:p w:rsidR="00132385" w:rsidRDefault="00132385" w:rsidP="0059034C">
      <w:pPr>
        <w:pStyle w:val="Paragrafoelenco"/>
        <w:spacing w:line="256" w:lineRule="auto"/>
        <w:ind w:left="1418" w:hanging="284"/>
      </w:pPr>
    </w:p>
    <w:p w:rsidR="00132385" w:rsidRDefault="00132385" w:rsidP="000E43D4">
      <w:pPr>
        <w:pStyle w:val="Paragrafoelenco"/>
        <w:numPr>
          <w:ilvl w:val="0"/>
          <w:numId w:val="38"/>
        </w:numPr>
        <w:ind w:left="851" w:hanging="709"/>
      </w:pPr>
      <w:r>
        <w:lastRenderedPageBreak/>
        <w:t>Il committente o il responsabile dei lavori, prima dell’inizio dei lavori, trasmette all’azienda unità sanitaria locale e alla direzione provinciale del lavoro territorialmente competenti la notifica preliminare nonché gli eventuali aggiornamenti nei seguenti casi:</w:t>
      </w:r>
    </w:p>
    <w:p w:rsidR="00132385" w:rsidRDefault="00132385" w:rsidP="0059034C">
      <w:pPr>
        <w:pStyle w:val="Paragrafoelenco"/>
        <w:numPr>
          <w:ilvl w:val="0"/>
          <w:numId w:val="77"/>
        </w:numPr>
        <w:spacing w:line="256" w:lineRule="auto"/>
        <w:ind w:left="1418" w:hanging="284"/>
      </w:pPr>
      <w:r>
        <w:t>Nei cantieri in cui è prevista la presenza di più imprese esecutrici, anche non contemporanea, e nei cantieri in cui opera un’unica impresa la cui entità presunta di lavoro non sia inferiore a duecento uomi</w:t>
      </w:r>
      <w:r w:rsidR="009806B5">
        <w:t>ni-giorno</w:t>
      </w:r>
    </w:p>
    <w:p w:rsidR="00132385" w:rsidRDefault="00132385" w:rsidP="0059034C">
      <w:pPr>
        <w:pStyle w:val="Paragrafoelenco"/>
        <w:numPr>
          <w:ilvl w:val="0"/>
          <w:numId w:val="77"/>
        </w:numPr>
        <w:spacing w:line="256" w:lineRule="auto"/>
        <w:ind w:left="1418" w:hanging="284"/>
      </w:pPr>
      <w:r>
        <w:t>Nei cantieri in cui non è prevista la presenza di più imprese esecutrici e nei cantieri in cui opera un’unica impresa la cui entità presunta di lavoro non sia inf</w:t>
      </w:r>
      <w:r w:rsidR="009806B5">
        <w:t>eriore a duecento uomini-giorno</w:t>
      </w:r>
    </w:p>
    <w:p w:rsidR="00132385" w:rsidRDefault="00132385" w:rsidP="0059034C">
      <w:pPr>
        <w:pStyle w:val="Paragrafoelenco"/>
        <w:numPr>
          <w:ilvl w:val="0"/>
          <w:numId w:val="77"/>
        </w:numPr>
        <w:spacing w:line="256" w:lineRule="auto"/>
        <w:ind w:left="1418" w:hanging="284"/>
      </w:pPr>
      <w:r>
        <w:t>Nei cantieri in cui è prevista la presenza contemporanea di più imprese esecutrici, solo se l’entità presunta di lavoro non sia inf</w:t>
      </w:r>
      <w:r w:rsidR="009806B5">
        <w:t>eriore a duecento uomini-giorno</w:t>
      </w:r>
    </w:p>
    <w:p w:rsidR="00132385" w:rsidRDefault="00132385" w:rsidP="00132385"/>
    <w:p w:rsidR="00132385" w:rsidRDefault="00132385" w:rsidP="00132385"/>
    <w:p w:rsidR="00132385" w:rsidRDefault="00132385" w:rsidP="00132385"/>
    <w:p w:rsidR="007E28BA" w:rsidRDefault="007E28BA" w:rsidP="00DB3E0F">
      <w:pPr>
        <w:ind w:left="1440"/>
        <w:jc w:val="both"/>
      </w:pPr>
    </w:p>
    <w:p w:rsidR="00E96A95" w:rsidRDefault="00E96A95" w:rsidP="00E96A95">
      <w:pPr>
        <w:jc w:val="both"/>
      </w:pPr>
    </w:p>
    <w:p w:rsidR="00E96A95" w:rsidRDefault="00E96A95" w:rsidP="00E96A95">
      <w:pPr>
        <w:jc w:val="both"/>
      </w:pPr>
    </w:p>
    <w:p w:rsidR="00757551" w:rsidRDefault="00757551" w:rsidP="00E96A95">
      <w:pPr>
        <w:ind w:left="2160"/>
        <w:jc w:val="both"/>
      </w:pPr>
    </w:p>
    <w:p w:rsidR="00757551" w:rsidRDefault="00757551" w:rsidP="00E96A95">
      <w:pPr>
        <w:jc w:val="both"/>
      </w:pPr>
    </w:p>
    <w:p w:rsidR="00757551" w:rsidRDefault="00757551" w:rsidP="00E96A95">
      <w:pPr>
        <w:pStyle w:val="Paragrafoelenco"/>
        <w:ind w:left="1440"/>
        <w:jc w:val="both"/>
      </w:pPr>
    </w:p>
    <w:p w:rsidR="00C8517F" w:rsidRDefault="00C8517F" w:rsidP="00E96A95">
      <w:pPr>
        <w:jc w:val="both"/>
      </w:pPr>
    </w:p>
    <w:p w:rsidR="00C8517F" w:rsidRDefault="00C8517F" w:rsidP="00C8517F"/>
    <w:p w:rsidR="007C0691" w:rsidRDefault="007C0691" w:rsidP="007C0691">
      <w:pPr>
        <w:pStyle w:val="Paragrafoelenco"/>
      </w:pPr>
    </w:p>
    <w:p w:rsidR="007C0691" w:rsidRDefault="007C0691" w:rsidP="007C0691">
      <w:pPr>
        <w:pStyle w:val="Paragrafoelenco"/>
      </w:pPr>
    </w:p>
    <w:sectPr w:rsidR="007C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623"/>
    <w:multiLevelType w:val="hybridMultilevel"/>
    <w:tmpl w:val="91F6344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35B06"/>
    <w:multiLevelType w:val="hybridMultilevel"/>
    <w:tmpl w:val="6F1635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5499F"/>
    <w:multiLevelType w:val="hybridMultilevel"/>
    <w:tmpl w:val="3AE6DED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B45"/>
    <w:multiLevelType w:val="hybridMultilevel"/>
    <w:tmpl w:val="9C387FEC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E08A4"/>
    <w:multiLevelType w:val="hybridMultilevel"/>
    <w:tmpl w:val="5FF0E76A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8E3C6A"/>
    <w:multiLevelType w:val="hybridMultilevel"/>
    <w:tmpl w:val="F6E435C8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4D58BE"/>
    <w:multiLevelType w:val="hybridMultilevel"/>
    <w:tmpl w:val="5ED4406C"/>
    <w:lvl w:ilvl="0" w:tplc="07E08C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D16782"/>
    <w:multiLevelType w:val="hybridMultilevel"/>
    <w:tmpl w:val="6A26B8C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082019"/>
    <w:multiLevelType w:val="hybridMultilevel"/>
    <w:tmpl w:val="4634966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3E3E59"/>
    <w:multiLevelType w:val="hybridMultilevel"/>
    <w:tmpl w:val="19B6A66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7E52AA"/>
    <w:multiLevelType w:val="hybridMultilevel"/>
    <w:tmpl w:val="F8FC6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6628"/>
    <w:multiLevelType w:val="hybridMultilevel"/>
    <w:tmpl w:val="1574557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1120864"/>
    <w:multiLevelType w:val="hybridMultilevel"/>
    <w:tmpl w:val="2BFE344C"/>
    <w:lvl w:ilvl="0" w:tplc="9CD65B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2704A6"/>
    <w:multiLevelType w:val="hybridMultilevel"/>
    <w:tmpl w:val="ED28C60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3A3C0E"/>
    <w:multiLevelType w:val="hybridMultilevel"/>
    <w:tmpl w:val="297E29B2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D2B86"/>
    <w:multiLevelType w:val="hybridMultilevel"/>
    <w:tmpl w:val="E214C69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C499D"/>
    <w:multiLevelType w:val="hybridMultilevel"/>
    <w:tmpl w:val="4798243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8045DB"/>
    <w:multiLevelType w:val="hybridMultilevel"/>
    <w:tmpl w:val="631823D4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72C6B"/>
    <w:multiLevelType w:val="hybridMultilevel"/>
    <w:tmpl w:val="78385B1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9E18E0"/>
    <w:multiLevelType w:val="hybridMultilevel"/>
    <w:tmpl w:val="8CAC373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FE3EF8"/>
    <w:multiLevelType w:val="hybridMultilevel"/>
    <w:tmpl w:val="BCBE542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74567"/>
    <w:multiLevelType w:val="hybridMultilevel"/>
    <w:tmpl w:val="7C6824E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A23008"/>
    <w:multiLevelType w:val="hybridMultilevel"/>
    <w:tmpl w:val="85BE6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A94C95"/>
    <w:multiLevelType w:val="hybridMultilevel"/>
    <w:tmpl w:val="42A415D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05F2714"/>
    <w:multiLevelType w:val="hybridMultilevel"/>
    <w:tmpl w:val="E5D006A8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0896A8E"/>
    <w:multiLevelType w:val="hybridMultilevel"/>
    <w:tmpl w:val="529CBCC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1BD7B45"/>
    <w:multiLevelType w:val="hybridMultilevel"/>
    <w:tmpl w:val="93FCCC6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D20FC1"/>
    <w:multiLevelType w:val="hybridMultilevel"/>
    <w:tmpl w:val="162E458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233721C6"/>
    <w:multiLevelType w:val="hybridMultilevel"/>
    <w:tmpl w:val="9F5AB83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540CF"/>
    <w:multiLevelType w:val="hybridMultilevel"/>
    <w:tmpl w:val="4F1688C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184B0E"/>
    <w:multiLevelType w:val="hybridMultilevel"/>
    <w:tmpl w:val="2E9C8FBC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2B0A5056"/>
    <w:multiLevelType w:val="hybridMultilevel"/>
    <w:tmpl w:val="405C7C06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2B797CF7"/>
    <w:multiLevelType w:val="hybridMultilevel"/>
    <w:tmpl w:val="B044D18A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2C17320C"/>
    <w:multiLevelType w:val="hybridMultilevel"/>
    <w:tmpl w:val="85A44B5C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46D71"/>
    <w:multiLevelType w:val="hybridMultilevel"/>
    <w:tmpl w:val="F0AEDDF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87C8C"/>
    <w:multiLevelType w:val="hybridMultilevel"/>
    <w:tmpl w:val="D9B200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96C"/>
    <w:multiLevelType w:val="hybridMultilevel"/>
    <w:tmpl w:val="2D36FA20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454306A"/>
    <w:multiLevelType w:val="hybridMultilevel"/>
    <w:tmpl w:val="89ECB7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59266F9"/>
    <w:multiLevelType w:val="hybridMultilevel"/>
    <w:tmpl w:val="6EA08CA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31489"/>
    <w:multiLevelType w:val="hybridMultilevel"/>
    <w:tmpl w:val="050ABBEC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C967F58"/>
    <w:multiLevelType w:val="hybridMultilevel"/>
    <w:tmpl w:val="0C0C7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BB5DE1"/>
    <w:multiLevelType w:val="hybridMultilevel"/>
    <w:tmpl w:val="A984BA52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450F11C8"/>
    <w:multiLevelType w:val="hybridMultilevel"/>
    <w:tmpl w:val="D6E2239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363A5"/>
    <w:multiLevelType w:val="hybridMultilevel"/>
    <w:tmpl w:val="EE225264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6C7752B"/>
    <w:multiLevelType w:val="hybridMultilevel"/>
    <w:tmpl w:val="A9BAEC3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71062EC"/>
    <w:multiLevelType w:val="hybridMultilevel"/>
    <w:tmpl w:val="987EA46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3A4D06"/>
    <w:multiLevelType w:val="hybridMultilevel"/>
    <w:tmpl w:val="43B26592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8983FB7"/>
    <w:multiLevelType w:val="hybridMultilevel"/>
    <w:tmpl w:val="4D38F41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A408A3"/>
    <w:multiLevelType w:val="hybridMultilevel"/>
    <w:tmpl w:val="1DF23F9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499A4AC1"/>
    <w:multiLevelType w:val="hybridMultilevel"/>
    <w:tmpl w:val="396C5EF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5354D"/>
    <w:multiLevelType w:val="hybridMultilevel"/>
    <w:tmpl w:val="09A8BDD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69041C"/>
    <w:multiLevelType w:val="hybridMultilevel"/>
    <w:tmpl w:val="2182E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343557"/>
    <w:multiLevelType w:val="hybridMultilevel"/>
    <w:tmpl w:val="10C0E400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F633D18"/>
    <w:multiLevelType w:val="hybridMultilevel"/>
    <w:tmpl w:val="F2E83A4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4A4877"/>
    <w:multiLevelType w:val="hybridMultilevel"/>
    <w:tmpl w:val="B4104FEE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569D03A9"/>
    <w:multiLevelType w:val="hybridMultilevel"/>
    <w:tmpl w:val="0204C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E26D83"/>
    <w:multiLevelType w:val="hybridMultilevel"/>
    <w:tmpl w:val="981255A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6D6482"/>
    <w:multiLevelType w:val="hybridMultilevel"/>
    <w:tmpl w:val="1E305E4C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 w15:restartNumberingAfterBreak="0">
    <w:nsid w:val="5BA513A8"/>
    <w:multiLevelType w:val="hybridMultilevel"/>
    <w:tmpl w:val="7488EC96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DF479A"/>
    <w:multiLevelType w:val="hybridMultilevel"/>
    <w:tmpl w:val="36443A16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7C4916"/>
    <w:multiLevelType w:val="hybridMultilevel"/>
    <w:tmpl w:val="4488AC2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60C85"/>
    <w:multiLevelType w:val="hybridMultilevel"/>
    <w:tmpl w:val="1C9278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357647"/>
    <w:multiLevelType w:val="hybridMultilevel"/>
    <w:tmpl w:val="A0A67D0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35025C"/>
    <w:multiLevelType w:val="hybridMultilevel"/>
    <w:tmpl w:val="60B42D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327088D"/>
    <w:multiLevelType w:val="hybridMultilevel"/>
    <w:tmpl w:val="7EF4C8FC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B3E7B"/>
    <w:multiLevelType w:val="hybridMultilevel"/>
    <w:tmpl w:val="609CA50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ABD125A"/>
    <w:multiLevelType w:val="hybridMultilevel"/>
    <w:tmpl w:val="0AEAF57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CCA5F85"/>
    <w:multiLevelType w:val="hybridMultilevel"/>
    <w:tmpl w:val="FF701F8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1E6BC5"/>
    <w:multiLevelType w:val="hybridMultilevel"/>
    <w:tmpl w:val="5748E296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672043"/>
    <w:multiLevelType w:val="hybridMultilevel"/>
    <w:tmpl w:val="ADB230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2FD1E49"/>
    <w:multiLevelType w:val="hybridMultilevel"/>
    <w:tmpl w:val="FE8002B6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77B94BE5"/>
    <w:multiLevelType w:val="hybridMultilevel"/>
    <w:tmpl w:val="9E7C7D5C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DB3810"/>
    <w:multiLevelType w:val="hybridMultilevel"/>
    <w:tmpl w:val="DF6E0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02149"/>
    <w:multiLevelType w:val="hybridMultilevel"/>
    <w:tmpl w:val="3AD425B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AF26CB6"/>
    <w:multiLevelType w:val="hybridMultilevel"/>
    <w:tmpl w:val="7D824A94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B3117"/>
    <w:multiLevelType w:val="hybridMultilevel"/>
    <w:tmpl w:val="C3229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D6B5E"/>
    <w:multiLevelType w:val="hybridMultilevel"/>
    <w:tmpl w:val="BDD410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F9953AC"/>
    <w:multiLevelType w:val="hybridMultilevel"/>
    <w:tmpl w:val="435A1F48"/>
    <w:lvl w:ilvl="0" w:tplc="9CD65B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54"/>
  </w:num>
  <w:num w:numId="5">
    <w:abstractNumId w:val="19"/>
  </w:num>
  <w:num w:numId="6">
    <w:abstractNumId w:val="56"/>
  </w:num>
  <w:num w:numId="7">
    <w:abstractNumId w:val="22"/>
  </w:num>
  <w:num w:numId="8">
    <w:abstractNumId w:val="76"/>
  </w:num>
  <w:num w:numId="9">
    <w:abstractNumId w:val="29"/>
  </w:num>
  <w:num w:numId="10">
    <w:abstractNumId w:val="62"/>
  </w:num>
  <w:num w:numId="11">
    <w:abstractNumId w:val="39"/>
  </w:num>
  <w:num w:numId="12">
    <w:abstractNumId w:val="47"/>
  </w:num>
  <w:num w:numId="13">
    <w:abstractNumId w:val="36"/>
  </w:num>
  <w:num w:numId="14">
    <w:abstractNumId w:val="52"/>
  </w:num>
  <w:num w:numId="15">
    <w:abstractNumId w:val="16"/>
  </w:num>
  <w:num w:numId="16">
    <w:abstractNumId w:val="46"/>
  </w:num>
  <w:num w:numId="17">
    <w:abstractNumId w:val="4"/>
  </w:num>
  <w:num w:numId="18">
    <w:abstractNumId w:val="43"/>
  </w:num>
  <w:num w:numId="19">
    <w:abstractNumId w:val="66"/>
  </w:num>
  <w:num w:numId="20">
    <w:abstractNumId w:val="70"/>
  </w:num>
  <w:num w:numId="21">
    <w:abstractNumId w:val="24"/>
  </w:num>
  <w:num w:numId="22">
    <w:abstractNumId w:val="57"/>
  </w:num>
  <w:num w:numId="23">
    <w:abstractNumId w:val="41"/>
  </w:num>
  <w:num w:numId="24">
    <w:abstractNumId w:val="11"/>
  </w:num>
  <w:num w:numId="25">
    <w:abstractNumId w:val="5"/>
  </w:num>
  <w:num w:numId="26">
    <w:abstractNumId w:val="32"/>
  </w:num>
  <w:num w:numId="27">
    <w:abstractNumId w:val="30"/>
  </w:num>
  <w:num w:numId="28">
    <w:abstractNumId w:val="31"/>
  </w:num>
  <w:num w:numId="29">
    <w:abstractNumId w:val="77"/>
  </w:num>
  <w:num w:numId="30">
    <w:abstractNumId w:val="69"/>
  </w:num>
  <w:num w:numId="31">
    <w:abstractNumId w:val="67"/>
  </w:num>
  <w:num w:numId="32">
    <w:abstractNumId w:val="0"/>
  </w:num>
  <w:num w:numId="33">
    <w:abstractNumId w:val="18"/>
  </w:num>
  <w:num w:numId="34">
    <w:abstractNumId w:val="25"/>
  </w:num>
  <w:num w:numId="35">
    <w:abstractNumId w:val="48"/>
  </w:num>
  <w:num w:numId="36">
    <w:abstractNumId w:val="23"/>
  </w:num>
  <w:num w:numId="37">
    <w:abstractNumId w:val="27"/>
  </w:num>
  <w:num w:numId="38">
    <w:abstractNumId w:val="10"/>
  </w:num>
  <w:num w:numId="39">
    <w:abstractNumId w:val="73"/>
  </w:num>
  <w:num w:numId="40">
    <w:abstractNumId w:val="1"/>
  </w:num>
  <w:num w:numId="41">
    <w:abstractNumId w:val="7"/>
  </w:num>
  <w:num w:numId="42">
    <w:abstractNumId w:val="65"/>
  </w:num>
  <w:num w:numId="43">
    <w:abstractNumId w:val="3"/>
  </w:num>
  <w:num w:numId="44">
    <w:abstractNumId w:val="63"/>
  </w:num>
  <w:num w:numId="45">
    <w:abstractNumId w:val="21"/>
  </w:num>
  <w:num w:numId="46">
    <w:abstractNumId w:val="26"/>
  </w:num>
  <w:num w:numId="47">
    <w:abstractNumId w:val="37"/>
  </w:num>
  <w:num w:numId="48">
    <w:abstractNumId w:val="12"/>
  </w:num>
  <w:num w:numId="49">
    <w:abstractNumId w:val="44"/>
  </w:num>
  <w:num w:numId="50">
    <w:abstractNumId w:val="6"/>
  </w:num>
  <w:num w:numId="51">
    <w:abstractNumId w:val="45"/>
  </w:num>
  <w:num w:numId="52">
    <w:abstractNumId w:val="60"/>
  </w:num>
  <w:num w:numId="53">
    <w:abstractNumId w:val="55"/>
  </w:num>
  <w:num w:numId="54">
    <w:abstractNumId w:val="74"/>
  </w:num>
  <w:num w:numId="55">
    <w:abstractNumId w:val="58"/>
  </w:num>
  <w:num w:numId="56">
    <w:abstractNumId w:val="28"/>
  </w:num>
  <w:num w:numId="57">
    <w:abstractNumId w:val="33"/>
  </w:num>
  <w:num w:numId="58">
    <w:abstractNumId w:val="40"/>
  </w:num>
  <w:num w:numId="59">
    <w:abstractNumId w:val="15"/>
  </w:num>
  <w:num w:numId="60">
    <w:abstractNumId w:val="51"/>
  </w:num>
  <w:num w:numId="61">
    <w:abstractNumId w:val="71"/>
  </w:num>
  <w:num w:numId="62">
    <w:abstractNumId w:val="20"/>
  </w:num>
  <w:num w:numId="63">
    <w:abstractNumId w:val="72"/>
  </w:num>
  <w:num w:numId="64">
    <w:abstractNumId w:val="68"/>
  </w:num>
  <w:num w:numId="65">
    <w:abstractNumId w:val="49"/>
  </w:num>
  <w:num w:numId="66">
    <w:abstractNumId w:val="2"/>
  </w:num>
  <w:num w:numId="67">
    <w:abstractNumId w:val="64"/>
  </w:num>
  <w:num w:numId="68">
    <w:abstractNumId w:val="50"/>
  </w:num>
  <w:num w:numId="69">
    <w:abstractNumId w:val="35"/>
  </w:num>
  <w:num w:numId="70">
    <w:abstractNumId w:val="53"/>
  </w:num>
  <w:num w:numId="71">
    <w:abstractNumId w:val="42"/>
  </w:num>
  <w:num w:numId="72">
    <w:abstractNumId w:val="38"/>
  </w:num>
  <w:num w:numId="73">
    <w:abstractNumId w:val="14"/>
  </w:num>
  <w:num w:numId="74">
    <w:abstractNumId w:val="59"/>
  </w:num>
  <w:num w:numId="75">
    <w:abstractNumId w:val="17"/>
  </w:num>
  <w:num w:numId="76">
    <w:abstractNumId w:val="75"/>
  </w:num>
  <w:num w:numId="77">
    <w:abstractNumId w:val="61"/>
  </w:num>
  <w:num w:numId="78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1"/>
    <w:rsid w:val="00011F95"/>
    <w:rsid w:val="00047C90"/>
    <w:rsid w:val="000730EA"/>
    <w:rsid w:val="000761D9"/>
    <w:rsid w:val="00076F14"/>
    <w:rsid w:val="000E43D4"/>
    <w:rsid w:val="0012184F"/>
    <w:rsid w:val="00132385"/>
    <w:rsid w:val="001A7763"/>
    <w:rsid w:val="002641A3"/>
    <w:rsid w:val="002A11AB"/>
    <w:rsid w:val="003624DB"/>
    <w:rsid w:val="003C3E17"/>
    <w:rsid w:val="003F6DC4"/>
    <w:rsid w:val="003F7C5A"/>
    <w:rsid w:val="004C2137"/>
    <w:rsid w:val="005266E9"/>
    <w:rsid w:val="005844DB"/>
    <w:rsid w:val="0059034C"/>
    <w:rsid w:val="00592998"/>
    <w:rsid w:val="005F5012"/>
    <w:rsid w:val="0062457D"/>
    <w:rsid w:val="00651D6B"/>
    <w:rsid w:val="00665457"/>
    <w:rsid w:val="006A2B8E"/>
    <w:rsid w:val="006D267D"/>
    <w:rsid w:val="00757551"/>
    <w:rsid w:val="007C0691"/>
    <w:rsid w:val="007E28BA"/>
    <w:rsid w:val="008B25B2"/>
    <w:rsid w:val="008C679E"/>
    <w:rsid w:val="009806B5"/>
    <w:rsid w:val="009F4610"/>
    <w:rsid w:val="00A75C3D"/>
    <w:rsid w:val="00C8517F"/>
    <w:rsid w:val="00D41FAE"/>
    <w:rsid w:val="00D84A31"/>
    <w:rsid w:val="00DB3E0F"/>
    <w:rsid w:val="00E16A0C"/>
    <w:rsid w:val="00E96A95"/>
    <w:rsid w:val="00EA4DB7"/>
    <w:rsid w:val="00EC685A"/>
    <w:rsid w:val="00F4431C"/>
    <w:rsid w:val="00F6452F"/>
    <w:rsid w:val="00F93220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DAE4-4FAB-4139-A261-D3A18A1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67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D267D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6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C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D26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D267D"/>
    <w:rPr>
      <w:rFonts w:ascii="BankGothic Lt BT" w:eastAsia="Times New Roman" w:hAnsi="BankGothic Lt B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cp:lastPrinted>2019-04-17T06:48:00Z</cp:lastPrinted>
  <dcterms:created xsi:type="dcterms:W3CDTF">2019-04-17T11:12:00Z</dcterms:created>
  <dcterms:modified xsi:type="dcterms:W3CDTF">2019-04-17T11:12:00Z</dcterms:modified>
</cp:coreProperties>
</file>