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9D" w:rsidRPr="00335B9D" w:rsidRDefault="00335B9D" w:rsidP="00335B9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35B9D">
        <w:rPr>
          <w:rFonts w:ascii="Times New Roman" w:eastAsia="Times New Roman" w:hAnsi="Times New Roman" w:cs="Times New Roman"/>
          <w:b/>
          <w:bCs/>
          <w:kern w:val="36"/>
          <w:sz w:val="48"/>
          <w:szCs w:val="48"/>
          <w:lang w:eastAsia="it-IT"/>
        </w:rPr>
        <w:t>ANAC – Comunicato 15 ottobre 2014</w:t>
      </w:r>
    </w:p>
    <w:p w:rsidR="00335B9D" w:rsidRPr="00335B9D" w:rsidRDefault="00335B9D" w:rsidP="00335B9D">
      <w:pPr>
        <w:spacing w:after="0"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L’istituto dell’accesso civico: responsabilità delle pubbliche amministrazioni e opportunità per la società civile </w:t>
      </w:r>
    </w:p>
    <w:p w:rsidR="00335B9D" w:rsidRPr="00335B9D" w:rsidRDefault="00335B9D" w:rsidP="00335B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335B9D">
        <w:rPr>
          <w:rFonts w:ascii="Times New Roman" w:eastAsia="Times New Roman" w:hAnsi="Times New Roman" w:cs="Times New Roman"/>
          <w:b/>
          <w:bCs/>
          <w:kern w:val="36"/>
          <w:sz w:val="48"/>
          <w:szCs w:val="48"/>
          <w:lang w:eastAsia="it-IT"/>
        </w:rPr>
        <w:t>AN</w:t>
      </w:r>
      <w:bookmarkStart w:id="0" w:name="_GoBack"/>
      <w:bookmarkEnd w:id="0"/>
      <w:r w:rsidRPr="00335B9D">
        <w:rPr>
          <w:rFonts w:ascii="Times New Roman" w:eastAsia="Times New Roman" w:hAnsi="Times New Roman" w:cs="Times New Roman"/>
          <w:b/>
          <w:bCs/>
          <w:kern w:val="36"/>
          <w:sz w:val="48"/>
          <w:szCs w:val="48"/>
          <w:lang w:eastAsia="it-IT"/>
        </w:rPr>
        <w:t>AC</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b/>
          <w:bCs/>
          <w:i/>
          <w:iCs/>
          <w:sz w:val="24"/>
          <w:szCs w:val="24"/>
          <w:lang w:eastAsia="it-IT"/>
        </w:rPr>
        <w:t>L’istituto dell’accesso civico: responsabilità delle pubbliche amministrazioni e opportunità per la società civile</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COMUNICATO DELL’AUTORITÀ</w:t>
      </w:r>
    </w:p>
    <w:p w:rsidR="00335B9D" w:rsidRPr="00335B9D" w:rsidRDefault="00335B9D" w:rsidP="00335B9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b/>
          <w:bCs/>
          <w:sz w:val="24"/>
          <w:szCs w:val="24"/>
          <w:lang w:eastAsia="it-IT"/>
        </w:rPr>
        <w:t>1.       Premessa</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L’istituto dell’accesso civico consente a chiunque il diritto di richiedere, gratuitamente e senza necessità di motivazione, documenti, informazioni o dati di cui le pubbliche amministrazioni hanno omesso la pubblicazione prevista dalla normativa vigente. Per l’esercizio dell’accesso civico la richiesta deve essere presentata al Responsabile della trasparenza e, in caso di ritardo o di mancata risposta, al titolare del potere sostitutivo (cfr. </w:t>
      </w:r>
      <w:hyperlink r:id="rId5" w:history="1">
        <w:r w:rsidRPr="00335B9D">
          <w:rPr>
            <w:rFonts w:ascii="Times New Roman" w:eastAsia="Times New Roman" w:hAnsi="Times New Roman" w:cs="Times New Roman"/>
            <w:color w:val="0000FF"/>
            <w:sz w:val="24"/>
            <w:szCs w:val="24"/>
            <w:u w:val="single"/>
            <w:lang w:eastAsia="it-IT"/>
          </w:rPr>
          <w:t>art.5 del d.lgs. 33/2013</w:t>
        </w:r>
      </w:hyperlink>
      <w:r w:rsidRPr="00335B9D">
        <w:rPr>
          <w:rFonts w:ascii="Times New Roman" w:eastAsia="Times New Roman" w:hAnsi="Times New Roman" w:cs="Times New Roman"/>
          <w:sz w:val="24"/>
          <w:szCs w:val="24"/>
          <w:lang w:eastAsia="it-IT"/>
        </w:rPr>
        <w:t>).</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L’accesso civico va tenuto distinto dal diritto di accesso ai documenti amministrativi, la cui disciplina è contenuta nella l. 241/1990, ed è differente rispetto all’accesso civico (cfr. </w:t>
      </w:r>
      <w:hyperlink r:id="rId6" w:history="1">
        <w:r w:rsidRPr="00335B9D">
          <w:rPr>
            <w:rFonts w:ascii="Times New Roman" w:eastAsia="Times New Roman" w:hAnsi="Times New Roman" w:cs="Times New Roman"/>
            <w:color w:val="0000FF"/>
            <w:sz w:val="24"/>
            <w:szCs w:val="24"/>
            <w:u w:val="single"/>
            <w:lang w:eastAsia="it-IT"/>
          </w:rPr>
          <w:t xml:space="preserve">capo </w:t>
        </w:r>
        <w:proofErr w:type="gramStart"/>
        <w:r w:rsidRPr="00335B9D">
          <w:rPr>
            <w:rFonts w:ascii="Times New Roman" w:eastAsia="Times New Roman" w:hAnsi="Times New Roman" w:cs="Times New Roman"/>
            <w:color w:val="0000FF"/>
            <w:sz w:val="24"/>
            <w:szCs w:val="24"/>
            <w:u w:val="single"/>
            <w:lang w:eastAsia="it-IT"/>
          </w:rPr>
          <w:t>V  della</w:t>
        </w:r>
        <w:proofErr w:type="gramEnd"/>
        <w:r w:rsidRPr="00335B9D">
          <w:rPr>
            <w:rFonts w:ascii="Times New Roman" w:eastAsia="Times New Roman" w:hAnsi="Times New Roman" w:cs="Times New Roman"/>
            <w:color w:val="0000FF"/>
            <w:sz w:val="24"/>
            <w:szCs w:val="24"/>
            <w:u w:val="single"/>
            <w:lang w:eastAsia="it-IT"/>
          </w:rPr>
          <w:t xml:space="preserve"> l. 241/1990</w:t>
        </w:r>
      </w:hyperlink>
      <w:r w:rsidRPr="00335B9D">
        <w:rPr>
          <w:rFonts w:ascii="Times New Roman" w:eastAsia="Times New Roman" w:hAnsi="Times New Roman" w:cs="Times New Roman"/>
          <w:sz w:val="24"/>
          <w:szCs w:val="24"/>
          <w:lang w:eastAsia="it-IT"/>
        </w:rPr>
        <w:t xml:space="preserve">  e </w:t>
      </w:r>
      <w:hyperlink r:id="rId7" w:history="1">
        <w:r w:rsidRPr="00335B9D">
          <w:rPr>
            <w:rFonts w:ascii="Times New Roman" w:eastAsia="Times New Roman" w:hAnsi="Times New Roman" w:cs="Times New Roman"/>
            <w:color w:val="0000FF"/>
            <w:sz w:val="24"/>
            <w:szCs w:val="24"/>
            <w:u w:val="single"/>
            <w:lang w:eastAsia="it-IT"/>
          </w:rPr>
          <w:t>FAQ n. 2.6 e n. 2.7</w:t>
        </w:r>
      </w:hyperlink>
      <w:r w:rsidRPr="00335B9D">
        <w:rPr>
          <w:rFonts w:ascii="Times New Roman" w:eastAsia="Times New Roman" w:hAnsi="Times New Roman" w:cs="Times New Roman"/>
          <w:sz w:val="24"/>
          <w:szCs w:val="24"/>
          <w:lang w:eastAsia="it-IT"/>
        </w:rPr>
        <w:t xml:space="preserve"> pubblicate sul sito dell’Autorità in materia di trasparenza). Eventuali segnalazioni in ordine a disfunzioni del procedimento di accesso agli atti, dunque, non devono essere trasmesse all’ANAC, che non ha competenze in materia, ma ai soggetti specificamente indicati nella legge n.241/1990, </w:t>
      </w:r>
      <w:hyperlink r:id="rId8" w:history="1">
        <w:r w:rsidRPr="00335B9D">
          <w:rPr>
            <w:rFonts w:ascii="Times New Roman" w:eastAsia="Times New Roman" w:hAnsi="Times New Roman" w:cs="Times New Roman"/>
            <w:color w:val="0000FF"/>
            <w:sz w:val="24"/>
            <w:szCs w:val="24"/>
            <w:u w:val="single"/>
            <w:lang w:eastAsia="it-IT"/>
          </w:rPr>
          <w:t>art. 25</w:t>
        </w:r>
      </w:hyperlink>
      <w:r w:rsidRPr="00335B9D">
        <w:rPr>
          <w:rFonts w:ascii="Times New Roman" w:eastAsia="Times New Roman" w:hAnsi="Times New Roman" w:cs="Times New Roman"/>
          <w:sz w:val="24"/>
          <w:szCs w:val="24"/>
          <w:lang w:eastAsia="it-IT"/>
        </w:rPr>
        <w:t>.</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La </w:t>
      </w:r>
      <w:hyperlink r:id="rId9" w:history="1">
        <w:r w:rsidRPr="00335B9D">
          <w:rPr>
            <w:rFonts w:ascii="Times New Roman" w:eastAsia="Times New Roman" w:hAnsi="Times New Roman" w:cs="Times New Roman"/>
            <w:color w:val="0000FF"/>
            <w:sz w:val="24"/>
            <w:szCs w:val="24"/>
            <w:u w:val="single"/>
            <w:lang w:eastAsia="it-IT"/>
          </w:rPr>
          <w:t>Delibera ANAC n. 50/2013</w:t>
        </w:r>
      </w:hyperlink>
      <w:r w:rsidRPr="00335B9D">
        <w:rPr>
          <w:rFonts w:ascii="Times New Roman" w:eastAsia="Times New Roman" w:hAnsi="Times New Roman" w:cs="Times New Roman"/>
          <w:sz w:val="24"/>
          <w:szCs w:val="24"/>
          <w:lang w:eastAsia="it-IT"/>
        </w:rPr>
        <w:t xml:space="preserve"> prevede che nel Programma triennale per la trasparenza e l’integrità siano indicate anche le “misure per assicurare l’efficacia dell’istituto dell’accesso civico”.</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Il </w:t>
      </w:r>
      <w:hyperlink r:id="rId10" w:history="1">
        <w:r w:rsidRPr="00335B9D">
          <w:rPr>
            <w:rFonts w:ascii="Times New Roman" w:eastAsia="Times New Roman" w:hAnsi="Times New Roman" w:cs="Times New Roman"/>
            <w:color w:val="0000FF"/>
            <w:sz w:val="24"/>
            <w:szCs w:val="24"/>
            <w:u w:val="single"/>
            <w:lang w:eastAsia="it-IT"/>
          </w:rPr>
          <w:t>Piano Nazionale Anticorruzione</w:t>
        </w:r>
      </w:hyperlink>
      <w:r w:rsidRPr="00335B9D">
        <w:rPr>
          <w:rFonts w:ascii="Times New Roman" w:eastAsia="Times New Roman" w:hAnsi="Times New Roman" w:cs="Times New Roman"/>
          <w:sz w:val="24"/>
          <w:szCs w:val="24"/>
          <w:lang w:eastAsia="it-IT"/>
        </w:rPr>
        <w:t xml:space="preserve"> considera l’accesso civico uno degli strumenti di perseguimento degli obiettivi di trasparenza amministrativa ai fini della prevenzione della corruzione e per l’efficienza e l’efficacia dell’azione amministrativa.</w:t>
      </w:r>
    </w:p>
    <w:p w:rsidR="00335B9D" w:rsidRPr="00335B9D" w:rsidRDefault="00335B9D" w:rsidP="00335B9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b/>
          <w:bCs/>
          <w:sz w:val="24"/>
          <w:szCs w:val="24"/>
          <w:lang w:eastAsia="it-IT"/>
        </w:rPr>
        <w:t>2.      La responsabilità delle pubbliche amministrazioni</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Le pubbliche amministrazioni e, più in generale tutti i soggetti indicati nell’</w:t>
      </w:r>
      <w:hyperlink r:id="rId11" w:history="1">
        <w:r w:rsidRPr="00335B9D">
          <w:rPr>
            <w:rFonts w:ascii="Times New Roman" w:eastAsia="Times New Roman" w:hAnsi="Times New Roman" w:cs="Times New Roman"/>
            <w:color w:val="0000FF"/>
            <w:sz w:val="24"/>
            <w:szCs w:val="24"/>
            <w:u w:val="single"/>
            <w:lang w:eastAsia="it-IT"/>
          </w:rPr>
          <w:t>art. 11 del d.lgs.33/2013</w:t>
        </w:r>
      </w:hyperlink>
      <w:r w:rsidRPr="00335B9D">
        <w:rPr>
          <w:rFonts w:ascii="Times New Roman" w:eastAsia="Times New Roman" w:hAnsi="Times New Roman" w:cs="Times New Roman"/>
          <w:sz w:val="24"/>
          <w:szCs w:val="24"/>
          <w:lang w:eastAsia="it-IT"/>
        </w:rPr>
        <w:t>, hanno la responsabilità di organizzare, al proprio interno, sistemi che forniscano risposte tempestive alle richieste di accesso civico da parte dei cittadini e delle imprese, e di pubblicare, sul sito istituzionale, nella sezione “Amministrazione trasparente”:</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1)       il nominativo del responsabile della trasparenza a cui presentare la richiesta di accesso civico, nonché il nominativo del titolare del potere sostitutivo con l’indicazione dei relativi recapiti telefonici e delle caselle di posta elettronica istituzionale;</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2)       le modalità per l’esercizio di tale diritto, avendo cura di assicurare un’adeguata evidenza alla comprensibilità delle informazioni fornite e mettendo eventualmente a </w:t>
      </w:r>
      <w:proofErr w:type="gramStart"/>
      <w:r w:rsidRPr="00335B9D">
        <w:rPr>
          <w:rFonts w:ascii="Times New Roman" w:eastAsia="Times New Roman" w:hAnsi="Times New Roman" w:cs="Times New Roman"/>
          <w:sz w:val="24"/>
          <w:szCs w:val="24"/>
          <w:lang w:eastAsia="it-IT"/>
        </w:rPr>
        <w:t>disposizione  modelli</w:t>
      </w:r>
      <w:proofErr w:type="gramEnd"/>
      <w:r w:rsidRPr="00335B9D">
        <w:rPr>
          <w:rFonts w:ascii="Times New Roman" w:eastAsia="Times New Roman" w:hAnsi="Times New Roman" w:cs="Times New Roman"/>
          <w:sz w:val="24"/>
          <w:szCs w:val="24"/>
          <w:lang w:eastAsia="it-IT"/>
        </w:rPr>
        <w:t xml:space="preserve"> per le richieste di accesso civico.</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lastRenderedPageBreak/>
        <w:t>E’ compito del Responsabile della trasparenza, individuato all’interno di ciascuna pubblica amministrazione, controllare e assicurare la regolare attuazione dell’istituto dell’accesso civico (cfr. comma 4 dell’</w:t>
      </w:r>
      <w:hyperlink r:id="rId12" w:history="1">
        <w:r w:rsidRPr="00335B9D">
          <w:rPr>
            <w:rFonts w:ascii="Times New Roman" w:eastAsia="Times New Roman" w:hAnsi="Times New Roman" w:cs="Times New Roman"/>
            <w:color w:val="0000FF"/>
            <w:sz w:val="24"/>
            <w:szCs w:val="24"/>
            <w:u w:val="single"/>
            <w:lang w:eastAsia="it-IT"/>
          </w:rPr>
          <w:t>art. 43 del d.lgs. 33/2013</w:t>
        </w:r>
      </w:hyperlink>
      <w:r w:rsidRPr="00335B9D">
        <w:rPr>
          <w:rFonts w:ascii="Times New Roman" w:eastAsia="Times New Roman" w:hAnsi="Times New Roman" w:cs="Times New Roman"/>
          <w:sz w:val="24"/>
          <w:szCs w:val="24"/>
          <w:lang w:eastAsia="it-IT"/>
        </w:rPr>
        <w:t>).</w:t>
      </w:r>
    </w:p>
    <w:p w:rsidR="00335B9D" w:rsidRPr="00335B9D" w:rsidRDefault="00335B9D" w:rsidP="00335B9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b/>
          <w:bCs/>
          <w:sz w:val="24"/>
          <w:szCs w:val="24"/>
          <w:lang w:eastAsia="it-IT"/>
        </w:rPr>
        <w:t xml:space="preserve">3.      L’accesso civico: opportunità per la vigilanza partecipativa della società civile </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Chiunque – cittadini, imprese, associazioni, etc. – rilevi, nei siti istituzionali delle pubbliche amministrazioni e degli altri soggetti indicati nell’art. 11 del d.lgs. n. 33/2013, l’omessa pubblicazione di documenti, informazioni e dati previsti dalla normativa vigente in materia di trasparenza, utilizzando l’istituto dell’accesso civico può, dunque, segnalare l’inosservanza direttamente all’amministrazione inadempiente per ottenere rapidamente soddisfazione alla richiesta di dati e informazioni.</w:t>
      </w:r>
    </w:p>
    <w:p w:rsidR="00335B9D" w:rsidRPr="00335B9D" w:rsidRDefault="00335B9D" w:rsidP="00335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b/>
          <w:bCs/>
          <w:sz w:val="24"/>
          <w:szCs w:val="24"/>
          <w:lang w:eastAsia="it-IT"/>
        </w:rPr>
        <w:t>4.      Segnalazioni all’ANAC solo dopo aver fatto richiesta di accesso civico alle amministrazioni</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Solo in caso di mancata presenza nei siti istituzionali delle amministrazioni delle necessarie indicazioni relative all’istituto dell’accesso civico ovvero in ipotesi di mancata risposta anche del titolare del potere sostitutivo, entro i termini previsti, da parte delle pubbliche amministrazioni cui è stata inoltrata la richiesta di accesso civico, sarà possibile inoltrare segnalazioni all’ANAC. </w:t>
      </w:r>
      <w:proofErr w:type="gramStart"/>
      <w:r w:rsidRPr="00335B9D">
        <w:rPr>
          <w:rFonts w:ascii="Times New Roman" w:eastAsia="Times New Roman" w:hAnsi="Times New Roman" w:cs="Times New Roman"/>
          <w:sz w:val="24"/>
          <w:szCs w:val="24"/>
          <w:lang w:eastAsia="it-IT"/>
        </w:rPr>
        <w:t>sull’omessa</w:t>
      </w:r>
      <w:proofErr w:type="gramEnd"/>
      <w:r w:rsidRPr="00335B9D">
        <w:rPr>
          <w:rFonts w:ascii="Times New Roman" w:eastAsia="Times New Roman" w:hAnsi="Times New Roman" w:cs="Times New Roman"/>
          <w:sz w:val="24"/>
          <w:szCs w:val="24"/>
          <w:lang w:eastAsia="it-IT"/>
        </w:rPr>
        <w:t xml:space="preserve"> pubblicazione di dati ai sensi della normativa vigente</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 xml:space="preserve">Per le segnalazioni all’ANAC, si ribadisce, dovrà essere utilizzata esclusivamente l’apposita procedura </w:t>
      </w:r>
      <w:r w:rsidRPr="00335B9D">
        <w:rPr>
          <w:rFonts w:ascii="Times New Roman" w:eastAsia="Times New Roman" w:hAnsi="Times New Roman" w:cs="Times New Roman"/>
          <w:i/>
          <w:iCs/>
          <w:sz w:val="24"/>
          <w:szCs w:val="24"/>
          <w:lang w:eastAsia="it-IT"/>
        </w:rPr>
        <w:t>on line</w:t>
      </w:r>
      <w:r w:rsidRPr="00335B9D">
        <w:rPr>
          <w:rFonts w:ascii="Times New Roman" w:eastAsia="Times New Roman" w:hAnsi="Times New Roman" w:cs="Times New Roman"/>
          <w:sz w:val="24"/>
          <w:szCs w:val="24"/>
          <w:lang w:eastAsia="it-IT"/>
        </w:rPr>
        <w:t xml:space="preserve"> “</w:t>
      </w:r>
      <w:hyperlink r:id="rId13" w:history="1">
        <w:r w:rsidRPr="00335B9D">
          <w:rPr>
            <w:rFonts w:ascii="Times New Roman" w:eastAsia="Times New Roman" w:hAnsi="Times New Roman" w:cs="Times New Roman"/>
            <w:color w:val="0000FF"/>
            <w:sz w:val="24"/>
            <w:szCs w:val="24"/>
            <w:u w:val="single"/>
            <w:lang w:eastAsia="it-IT"/>
          </w:rPr>
          <w:t>Comunica con l’Autorità</w:t>
        </w:r>
      </w:hyperlink>
      <w:r w:rsidRPr="00335B9D">
        <w:rPr>
          <w:rFonts w:ascii="Times New Roman" w:eastAsia="Times New Roman" w:hAnsi="Times New Roman" w:cs="Times New Roman"/>
          <w:sz w:val="24"/>
          <w:szCs w:val="24"/>
          <w:lang w:eastAsia="it-IT"/>
        </w:rPr>
        <w:t xml:space="preserve">”  (cfr. </w:t>
      </w:r>
      <w:hyperlink r:id="rId14" w:history="1">
        <w:r w:rsidRPr="00335B9D">
          <w:rPr>
            <w:rFonts w:ascii="Times New Roman" w:eastAsia="Times New Roman" w:hAnsi="Times New Roman" w:cs="Times New Roman"/>
            <w:color w:val="0000FF"/>
            <w:sz w:val="24"/>
            <w:szCs w:val="24"/>
            <w:u w:val="single"/>
            <w:lang w:eastAsia="it-IT"/>
          </w:rPr>
          <w:t>decisione dell’Autorità del 15 maggio 2014</w:t>
        </w:r>
      </w:hyperlink>
      <w:r w:rsidRPr="00335B9D">
        <w:rPr>
          <w:rFonts w:ascii="Times New Roman" w:eastAsia="Times New Roman" w:hAnsi="Times New Roman" w:cs="Times New Roman"/>
          <w:sz w:val="24"/>
          <w:szCs w:val="24"/>
          <w:lang w:eastAsia="it-IT"/>
        </w:rPr>
        <w:t xml:space="preserve">) disponibile sul sito </w:t>
      </w:r>
      <w:hyperlink r:id="rId15" w:history="1">
        <w:r w:rsidRPr="00335B9D">
          <w:rPr>
            <w:rFonts w:ascii="Times New Roman" w:eastAsia="Times New Roman" w:hAnsi="Times New Roman" w:cs="Times New Roman"/>
            <w:color w:val="0000FF"/>
            <w:sz w:val="24"/>
            <w:szCs w:val="24"/>
            <w:u w:val="single"/>
            <w:lang w:eastAsia="it-IT"/>
          </w:rPr>
          <w:t>www.anticorruzione.it</w:t>
        </w:r>
      </w:hyperlink>
      <w:r w:rsidRPr="00335B9D">
        <w:rPr>
          <w:rFonts w:ascii="Times New Roman" w:eastAsia="Times New Roman" w:hAnsi="Times New Roman" w:cs="Times New Roman"/>
          <w:sz w:val="24"/>
          <w:szCs w:val="24"/>
          <w:lang w:eastAsia="it-IT"/>
        </w:rPr>
        <w:t>, avendo cura di indicare gli estremi (data di invio) della richiesta di accesso civico inoltrata all’amministrazione, in assenza dei quali la segnalazione non verrà trattata. In caso di risposta ricevuta dall’amministrazione si richiede di chiarire, nel campo “note aggiuntive” del modulo, le ragioni per cui la stessa sia ritenuta incompleta o insoddisfacente.</w:t>
      </w:r>
    </w:p>
    <w:p w:rsidR="00335B9D" w:rsidRPr="00335B9D" w:rsidRDefault="00335B9D" w:rsidP="00335B9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b/>
          <w:bCs/>
          <w:sz w:val="24"/>
          <w:szCs w:val="24"/>
          <w:lang w:eastAsia="it-IT"/>
        </w:rPr>
        <w:t>5.      La vigilanza dell’Autorità  </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L’Autorità, nella sua attività istituzionale di vigilanza sul rispetto delle regole sulla trasparenza dell’attività amministrativa previste dalla normativa vigente, verifica sui siti delle pubbliche amministrazioni la effettiva messa a disposizione, per chiunque ne abbia interesse, delle informazioni necessarie per poter esercitare il diritto di accesso civico.</w:t>
      </w:r>
    </w:p>
    <w:p w:rsidR="00335B9D" w:rsidRPr="00335B9D" w:rsidRDefault="00335B9D" w:rsidP="00335B9D">
      <w:pPr>
        <w:spacing w:before="100" w:beforeAutospacing="1" w:after="100" w:afterAutospacing="1" w:line="240" w:lineRule="auto"/>
        <w:rPr>
          <w:rFonts w:ascii="Times New Roman" w:eastAsia="Times New Roman" w:hAnsi="Times New Roman" w:cs="Times New Roman"/>
          <w:sz w:val="24"/>
          <w:szCs w:val="24"/>
          <w:lang w:eastAsia="it-IT"/>
        </w:rPr>
      </w:pPr>
      <w:r w:rsidRPr="00335B9D">
        <w:rPr>
          <w:rFonts w:ascii="Times New Roman" w:eastAsia="Times New Roman" w:hAnsi="Times New Roman" w:cs="Times New Roman"/>
          <w:sz w:val="24"/>
          <w:szCs w:val="24"/>
          <w:lang w:eastAsia="it-IT"/>
        </w:rPr>
        <w:t>15 ottobre 2014</w:t>
      </w:r>
    </w:p>
    <w:p w:rsidR="00F159F8" w:rsidRDefault="00F159F8"/>
    <w:sectPr w:rsidR="00F159F8" w:rsidSect="00335B9D">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185"/>
    <w:multiLevelType w:val="multilevel"/>
    <w:tmpl w:val="7AAE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76733"/>
    <w:multiLevelType w:val="multilevel"/>
    <w:tmpl w:val="ADD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7561B"/>
    <w:multiLevelType w:val="multilevel"/>
    <w:tmpl w:val="3142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579F0"/>
    <w:multiLevelType w:val="multilevel"/>
    <w:tmpl w:val="9FA8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F437E"/>
    <w:multiLevelType w:val="multilevel"/>
    <w:tmpl w:val="FEB4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9D"/>
    <w:rsid w:val="00335B9D"/>
    <w:rsid w:val="00F15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0220D-E353-413B-B713-F305523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35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5B9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335B9D"/>
    <w:rPr>
      <w:color w:val="0000FF"/>
      <w:u w:val="single"/>
    </w:rPr>
  </w:style>
  <w:style w:type="character" w:styleId="Enfasigrassetto">
    <w:name w:val="Strong"/>
    <w:basedOn w:val="Carpredefinitoparagrafo"/>
    <w:uiPriority w:val="22"/>
    <w:qFormat/>
    <w:rsid w:val="00335B9D"/>
    <w:rPr>
      <w:b/>
      <w:bCs/>
    </w:rPr>
  </w:style>
  <w:style w:type="paragraph" w:styleId="NormaleWeb">
    <w:name w:val="Normal (Web)"/>
    <w:basedOn w:val="Normale"/>
    <w:uiPriority w:val="99"/>
    <w:semiHidden/>
    <w:unhideWhenUsed/>
    <w:rsid w:val="00335B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35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6241">
      <w:bodyDiv w:val="1"/>
      <w:marLeft w:val="0"/>
      <w:marRight w:val="0"/>
      <w:marTop w:val="0"/>
      <w:marBottom w:val="0"/>
      <w:divBdr>
        <w:top w:val="none" w:sz="0" w:space="0" w:color="auto"/>
        <w:left w:val="none" w:sz="0" w:space="0" w:color="auto"/>
        <w:bottom w:val="none" w:sz="0" w:space="0" w:color="auto"/>
        <w:right w:val="none" w:sz="0" w:space="0" w:color="auto"/>
      </w:divBdr>
      <w:divsChild>
        <w:div w:id="1777864538">
          <w:marLeft w:val="0"/>
          <w:marRight w:val="0"/>
          <w:marTop w:val="0"/>
          <w:marBottom w:val="0"/>
          <w:divBdr>
            <w:top w:val="none" w:sz="0" w:space="0" w:color="auto"/>
            <w:left w:val="none" w:sz="0" w:space="0" w:color="auto"/>
            <w:bottom w:val="none" w:sz="0" w:space="0" w:color="auto"/>
            <w:right w:val="none" w:sz="0" w:space="0" w:color="auto"/>
          </w:divBdr>
          <w:divsChild>
            <w:div w:id="1015184746">
              <w:marLeft w:val="0"/>
              <w:marRight w:val="0"/>
              <w:marTop w:val="0"/>
              <w:marBottom w:val="0"/>
              <w:divBdr>
                <w:top w:val="none" w:sz="0" w:space="0" w:color="auto"/>
                <w:left w:val="none" w:sz="0" w:space="0" w:color="auto"/>
                <w:bottom w:val="none" w:sz="0" w:space="0" w:color="auto"/>
                <w:right w:val="none" w:sz="0" w:space="0" w:color="auto"/>
              </w:divBdr>
              <w:divsChild>
                <w:div w:id="1644578085">
                  <w:marLeft w:val="0"/>
                  <w:marRight w:val="0"/>
                  <w:marTop w:val="0"/>
                  <w:marBottom w:val="0"/>
                  <w:divBdr>
                    <w:top w:val="none" w:sz="0" w:space="0" w:color="auto"/>
                    <w:left w:val="none" w:sz="0" w:space="0" w:color="auto"/>
                    <w:bottom w:val="none" w:sz="0" w:space="0" w:color="auto"/>
                    <w:right w:val="none" w:sz="0" w:space="0" w:color="auto"/>
                  </w:divBdr>
                  <w:divsChild>
                    <w:div w:id="1402018340">
                      <w:marLeft w:val="0"/>
                      <w:marRight w:val="0"/>
                      <w:marTop w:val="0"/>
                      <w:marBottom w:val="0"/>
                      <w:divBdr>
                        <w:top w:val="none" w:sz="0" w:space="0" w:color="auto"/>
                        <w:left w:val="none" w:sz="0" w:space="0" w:color="auto"/>
                        <w:bottom w:val="none" w:sz="0" w:space="0" w:color="auto"/>
                        <w:right w:val="none" w:sz="0" w:space="0" w:color="auto"/>
                      </w:divBdr>
                      <w:divsChild>
                        <w:div w:id="1549492049">
                          <w:marLeft w:val="0"/>
                          <w:marRight w:val="0"/>
                          <w:marTop w:val="0"/>
                          <w:marBottom w:val="0"/>
                          <w:divBdr>
                            <w:top w:val="none" w:sz="0" w:space="0" w:color="auto"/>
                            <w:left w:val="none" w:sz="0" w:space="0" w:color="auto"/>
                            <w:bottom w:val="none" w:sz="0" w:space="0" w:color="auto"/>
                            <w:right w:val="none" w:sz="0" w:space="0" w:color="auto"/>
                          </w:divBdr>
                          <w:divsChild>
                            <w:div w:id="734814217">
                              <w:marLeft w:val="0"/>
                              <w:marRight w:val="0"/>
                              <w:marTop w:val="0"/>
                              <w:marBottom w:val="0"/>
                              <w:divBdr>
                                <w:top w:val="none" w:sz="0" w:space="0" w:color="auto"/>
                                <w:left w:val="none" w:sz="0" w:space="0" w:color="auto"/>
                                <w:bottom w:val="none" w:sz="0" w:space="0" w:color="auto"/>
                                <w:right w:val="none" w:sz="0" w:space="0" w:color="auto"/>
                              </w:divBdr>
                              <w:divsChild>
                                <w:div w:id="333145652">
                                  <w:marLeft w:val="0"/>
                                  <w:marRight w:val="0"/>
                                  <w:marTop w:val="0"/>
                                  <w:marBottom w:val="0"/>
                                  <w:divBdr>
                                    <w:top w:val="none" w:sz="0" w:space="0" w:color="auto"/>
                                    <w:left w:val="none" w:sz="0" w:space="0" w:color="auto"/>
                                    <w:bottom w:val="none" w:sz="0" w:space="0" w:color="auto"/>
                                    <w:right w:val="none" w:sz="0" w:space="0" w:color="auto"/>
                                  </w:divBdr>
                                </w:div>
                                <w:div w:id="1638880316">
                                  <w:marLeft w:val="0"/>
                                  <w:marRight w:val="0"/>
                                  <w:marTop w:val="0"/>
                                  <w:marBottom w:val="0"/>
                                  <w:divBdr>
                                    <w:top w:val="none" w:sz="0" w:space="0" w:color="auto"/>
                                    <w:left w:val="none" w:sz="0" w:space="0" w:color="auto"/>
                                    <w:bottom w:val="none" w:sz="0" w:space="0" w:color="auto"/>
                                    <w:right w:val="none" w:sz="0" w:space="0" w:color="auto"/>
                                  </w:divBdr>
                                  <w:divsChild>
                                    <w:div w:id="832330664">
                                      <w:marLeft w:val="0"/>
                                      <w:marRight w:val="0"/>
                                      <w:marTop w:val="0"/>
                                      <w:marBottom w:val="0"/>
                                      <w:divBdr>
                                        <w:top w:val="none" w:sz="0" w:space="0" w:color="auto"/>
                                        <w:left w:val="none" w:sz="0" w:space="0" w:color="auto"/>
                                        <w:bottom w:val="none" w:sz="0" w:space="0" w:color="auto"/>
                                        <w:right w:val="none" w:sz="0" w:space="0" w:color="auto"/>
                                      </w:divBdr>
                                      <w:divsChild>
                                        <w:div w:id="2702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1990-08-07;241;~art25!vig" TargetMode="External"/><Relationship Id="rId13" Type="http://schemas.openxmlformats.org/officeDocument/2006/relationships/hyperlink" Target="http://www.campagnatrasparenza.it/" TargetMode="External"/><Relationship Id="rId3" Type="http://schemas.openxmlformats.org/officeDocument/2006/relationships/settings" Target="settings.xml"/><Relationship Id="rId7" Type="http://schemas.openxmlformats.org/officeDocument/2006/relationships/hyperlink" Target="http://www.anticorruzione.it/?page_id=10470" TargetMode="External"/><Relationship Id="rId12" Type="http://schemas.openxmlformats.org/officeDocument/2006/relationships/hyperlink" Target="http://www.normattiva.it/uri-res/N2Ls?urn:nir:stato:decreto.legislativo:2013-03-14;33!vig=;~art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rmattiva.it/uri-res/N2Ls?urn:nir:stato:legge:1990-08-07;241;" TargetMode="External"/><Relationship Id="rId11" Type="http://schemas.openxmlformats.org/officeDocument/2006/relationships/hyperlink" Target="http://www.normattiva.it/uri-res/N2Ls?urn:nir:stato:decreto.legislativo:2013-03-14;33!vig=;~art11" TargetMode="External"/><Relationship Id="rId5" Type="http://schemas.openxmlformats.org/officeDocument/2006/relationships/hyperlink" Target="http://www.normattiva.it/uri-res/N2Ls?urn:nir:stato:decreto.legislativo:2013-03-14;33;~art5" TargetMode="External"/><Relationship Id="rId15" Type="http://schemas.openxmlformats.org/officeDocument/2006/relationships/hyperlink" Target="http://www.anticorruzione.it/" TargetMode="External"/><Relationship Id="rId10" Type="http://schemas.openxmlformats.org/officeDocument/2006/relationships/hyperlink" Target="http://www.funzionepubblica.gov.it/comunicazione/notizie/2013/settembre/11092013---approvato-dalla-civit-il-pna.aspx" TargetMode="External"/><Relationship Id="rId4" Type="http://schemas.openxmlformats.org/officeDocument/2006/relationships/webSettings" Target="webSettings.xml"/><Relationship Id="rId9" Type="http://schemas.openxmlformats.org/officeDocument/2006/relationships/hyperlink" Target="http://www.anticorruzione.it/?p=8953" TargetMode="External"/><Relationship Id="rId14" Type="http://schemas.openxmlformats.org/officeDocument/2006/relationships/hyperlink" Target="http://www.anticorruzione.it/?p=1243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cerzia picotti</dc:creator>
  <cp:keywords/>
  <dc:description/>
  <cp:lastModifiedBy>cerzia picotti</cp:lastModifiedBy>
  <cp:revision>1</cp:revision>
  <dcterms:created xsi:type="dcterms:W3CDTF">2014-10-17T08:05:00Z</dcterms:created>
  <dcterms:modified xsi:type="dcterms:W3CDTF">2014-10-17T08:06:00Z</dcterms:modified>
</cp:coreProperties>
</file>